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6695" w14:textId="6bb6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обновлению судов внутреннего водного плавания и судов смешанного "река-море"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апреля 2011 года № 197. Зарегистрирован в Министерстве юстиции Республики Казахстан 3 мая 2011 года № 6933.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обновлению судов внутреннего водного плавания и судов смешанного "река-море" плавания.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2011 года № 197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обновлению судов внутреннего водного плавания</w:t>
      </w:r>
      <w:r>
        <w:br/>
      </w:r>
      <w:r>
        <w:rPr>
          <w:rFonts w:ascii="Times New Roman"/>
          <w:b/>
          <w:i w:val="false"/>
          <w:color w:val="000000"/>
        </w:rPr>
        <w:t>и судов смешанного "река-море" плавания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§ 1. Область применения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обновлению судов внутреннего водного плавания и судов смешанного "река-море" плавания (далее - Правила) определяют порядок процедуры прохождения и оформления документов, а также объем работы при обновлении корпусов, механизмов, электрического оборудования судов.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имеются ссылки на правила, утвержденные уполномоченным органом и используемые в деятельности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 (далее - Правила Регистра судоходства).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Регистра судоходства включают в себя следующие нормативные правовые акты, используемые в настоящих Правилах: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постройки судов внутреннего плавания, утвержденные приказом Министра транспорта и коммуникаций Республики Казахстан от 9 марта 2011 года № 127 (зарегистрированы в Реестре государственной регистрации нормативных правовых актов за № 6271), (далее - ПСВП);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смешанного "река-море" плавания, утвержденные приказом Министра транспорта и коммуникаций Республики Казахстан от 14 марта 2011 года № 137 (зарегистрированы в Реестре государственной регистрации нормативных правовых актов за № 6883), (далее - ПССП).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следующие объекты: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стальные корпуса судов внутреннего плавания классов "Л", "Р", "О" и смешанного плавания "О-ПР", "М-ПР" и "М-СП";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механизмы и оборудование судов (далее - механизмы) внутреннего и смешанного плавания всех типов и классов;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электрическое оборудование судов внутреннего и смешанного плавания всех типов и классов, на которых предусмотрены как минимум, электростанция (с одним или несколькими дизель - генераторами и главным распределительным щитом), кабельная сеть и электродвигатели судовых технических средств, обеспечивающих безопасность плавания.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Возможность применения настоящих Правил для обновления отдельных групп элементов судов других типов, классов и назначений, размерений и мощности, не оговоренных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предметом специального рассмотрения филиала "Регистр судоходства" Республиканского государственного казенного предприятия "Қазақстан су жолдары" Комитета транспорта Министерства индустрии и инфраструктурного развития Республики Казахстан (далее - Регистр судоходства).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04.01.2023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об обновлении судна или отдельных групп его элементов, принимаются по согласованию с Регистром судоходства.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Общие указания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обновлением судна, понимается комплекс согласованных с Регистром судоходства производимых мероприятий, после осуществления, которых техническое состояние корпуса судна, механизмов и электрического оборудования позволит обеспечить надежную эксплуатацию судна в течение установленного срока, в зависимости от выбранного уровня обновления.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Правилами установлены следующие уровни обновления (отдельно по корпусу, механизмам и электрическому оборудованию):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1 (У1), удостоверяющий техническое состояние судна, обеспечивающий надежную эксплуатацию обновленного судна не менее 15 лет;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2 (У2), удостоверяющий техническое состояние судна, обеспечивающий надежную эксплуатацию обновленного судна не менее 10 лет.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Техническое состояние корпуса, механизмов и электрического оборудования судна, обновленного на уровень 1 или уровень 2, признается аналогичным техническому состоянию соответствующих элементов спроектированного на срок службы 20 лет нового судна после 5-летней или 10-летней эксплуатации. Все параметры нового судна (главные размерения, грузоподъемность, назначение, класс судна, район плавания) не отличаются от обновленного судна.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обновления судна назначается по результатам оценки его технического состояния и планируемого срока эксплуатации судна после обновления, в зависимости от выбранного уровня обновления.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Комплекс мероприятий по обновлению судна (отдельно по корпусу, механизмам и электрическому оборудованию или одновременно по всем элементам судна) включает в себя следующие этапы: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в Регистр судоходства заявки о намерении обновления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поручению Регистра судоходства, работнику Регистра судоходства направляется копия заявки для рассмотрения документов и подготовки в двух недельный срок письменного заключения о возможности применения настоящих Правил для обновления заявленного судна;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 участием работников Регистра судоходства дополнительной дефектации обновляемых объектов, если Регистр судоходства сочтет недостаточно полные материалы дефектации, представленные к заявке;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с Регистром судоходства проекта обновления судна или его элементов (корпуса, механизмов, электрического оборудования) с учетом указаний, изложенных в настоящих Правилах;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предписанных проектом обновления работ под техническим наблюдением работника Регистра судоходства;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на судно документы Регистром судоходства в соответствии с параграфом 5 главы 1 настоящих Правил.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Термины и определения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настоящих Правилах, кроме общепринятых, используются термины, которые следует понимать следующим образом: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дефектация и ремонт - приведение технических средств и оборудования к уровню технического состояния или комплектности, соответствующего требованиям Правил Регистра судоходства;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- различного рода фильтры, теплообменные аппараты, сосуды под давлением, трубопроводы, арматура, цистерны и другие изделия, служащие для обеспечения функций судовых технических средств, устройств;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 - корпус судна, включая надстройки, участвующие в общем изгибе судна;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- судовые технические средства, объединенные при оформлении актов Регистра судоходства в отдельную группу. В состав механизмов входят главные и вспомогательные двигатели, редукторы, реверсивно-редукторные передачи, разобщительные и другие муфты, валопроводы, движители, компрессоры, насосы, вентиляторы, сепараторы, палубные механизмы;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электрическое оборудование - судовые источники электрической энергии, электрораспределительные устройства, кабельная сеть, трансформаторы и преобразователи, электродвигатели, аппаратура управления электрическими цепями, аварийно-предупредительная защита и сигнализация.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настоящих Правилах применены следующие обозначения и сокращения: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НТД - нормативно-техническая документация;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- технические условия.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Проект обновления судна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 обновления судна или его элементов выполняются организацией, имеющей Свидетельство о признании Регистра судоходства.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 обновления судна или его элементов необходимо разрабатывать с учетом требований действующих Правил Регистра судоходства. Одновременно с этим, проект по возможности ориентирован на совершенствование элементов конструкции корпуса, технических средств, устройств, электрического оборудования (например, конструктивной противопожарной защиты, спасательных средств, рулевого устройства, элементной базы систем автоматизации, аварийно-предупредительной сигнализации и защиты).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Документация проекта обновления судна разрабатывается с учетом требований Правил Регистра судоходства относительно комплектации судна радионавигационным оборудованием, оборудованием экологической безопасности и спасательными средствами.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отступления от требований Правил Регистра судоходства, по которым было построено судно, оформляются в виде Перечня отступлений от Правил Регистра судоходства, представляемого в составе проекта обновления на согласование Регистру судоходства.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Возможно выполнение проекта обновления судна на группы серийных судов, допускаемых к эксплуатации с одинаковыми эксплуатационными ограничениями и допустимыми случаями загрузки (балластировки) организацией, имеющей Свидетельство о признании Регистром судоходства. В этом случае для конкретного судна проектная организация выполняет привязку группового проекта обновления к данному судну с учетом его особенностей.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проекте обновления должно быть предусмотрено приведение в соответствие с действующими Правилами Регистра судоходства: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спасательные средства;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противопожарное оборудование, снабжение и система пожаротушения;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 и навигационное оборудование по предотвращению загрязнения с судов;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по предотвращению загрязнения с судов.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Материалы проекта, касающиеся обновления корпуса, должны включать в себя: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необходимой толщины элементов корпуса для выбранного уровня обновления согласно главе 8 настоящих Правил;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необходимых характеристик балок набора для выбранного уровня обновления согласно главе 9 настоящих Правил;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расчетную проверку общей прочности корпуса обновленного судна;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техническую документацию на подкрепление или замену элементов конструкции корпуса, состояние которых не удовлетворяет требованиям настоящих Правил;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технологию устранения остаточного прогиба/перегиба.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5. Документация Регистра судоходства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обновления на судно, выдаются документы Регистра судоходства с соблюдением следующих требований: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обновлении судна с сохранением его назначения составляется акт внеочередного освидетельствования (в объеме первоначального), в Свидетельство о годности к плаванию вносятся необходимые изменения, выдаются Свидетельства об обновлении раздельно по корпусу, механизмам и электрическому оборудованию, оформляется новое Классификационное свидетельство;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обновлении судна с изменением его назначения составляется акт первоначального освидетельствования, выдается полный комплект новых судовых документов, судну присваивается новый регистровый номер. Дополнительно на судно выдаются Свидетельства об обновлении судна, корпуса судна, судовых механизмов и оборудования и судового электрического оборудования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Отсчет сроков последующих классификационных освидетельствований корпуса, механизмов и электрического оборудования производится с момента выдачи Свидетельств об обновлении элементов судна.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действия Свидетельства об обновлении судна устанавливается 15 лет для уровня обновления У1 и 10 лет для уровня обновления У2.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Обновление корпуса</w:t>
      </w:r>
      <w:r>
        <w:br/>
      </w:r>
      <w:r>
        <w:rPr>
          <w:rFonts w:ascii="Times New Roman"/>
          <w:b/>
          <w:i w:val="false"/>
          <w:color w:val="000000"/>
        </w:rPr>
        <w:t>§ 1. Общие указания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Правилами предусматривается восстановление общей прочности корпуса и местной прочности наружной обшивки, настилов и балок набора до уровня, регламентированного требованиями настоящего раздела, в зависимости от заявленного уровня обновления и планируемого срока эксплуатации путем замены или подкрепления связей, а также установки дополнительных связей и конструкций (набора корпуса судна).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Свидетельства об обновлении корпуса оформляются также в случаях замены изношенной секции корпуса заранее изготовленной, переоборудования судов с целью изменения их назначения, выполнения модернизационных и/или других видов работ, в результате которых корпус судна будет удовлетворять требованиям настоящих Правил применительно к уровням обновления У1 или У2.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Материалы проекта обновления корпуса включают в себя: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минимально необходимой толщины элементов корпуса для выбранного уровня обновления в соответствии с параграфом 3 главы 2 настоящих Правил;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минимально необходимых характеристик балок набора для выбранного уровня обновления, в соответствии с параграфом 9 раздела 1 настоящих Правил;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расчетную проверку общей прочности корпуса обновленного судна, в соответствии с параграфом 5 главы 2 настоящих Правил;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техническую документацию на подкрепление или замену элементов конструкции корпуса, состояние которых не удовлетворяет требованиям настоящих Правил.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Дефектация корпуса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Дефектация корпуса включает в себя выявление, измерение параметров и оценку допустимости дефектов корпуса обновляемого судна с целью определения его технического состояния, обоснования методов и установления объема ремонта.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Дефектация корпуса производится не более чем за 1 год до подачи заявки о намерении обновления корпуса с представлением информации в Регистр судоходства.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Объем дефектации назначается в зависимости от технического состояния корпуса, обновляемого судна, перед очередным освидетельствованием.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судов серийной постройки, подлежащих обновлению, рекомендуется разработка типовых схем дефектации, учитывающих особенности конструкции и характерные износы элементов корпуса судов данной серии, которые разрабатываются организацией, имеющий признание Регистра судоходства.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Минимально необходимые толщины листовых элементов корпуса</w:t>
      </w:r>
      <w:r>
        <w:br/>
      </w:r>
      <w:r>
        <w:rPr>
          <w:rFonts w:ascii="Times New Roman"/>
          <w:b/>
          <w:i w:val="false"/>
          <w:color w:val="000000"/>
        </w:rPr>
        <w:t>обновленного судна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Минимально необходимые толщины наружной обшивки, настилов палубы и второго дна, внутренних бортов, продольных и поперечных переборок, флоров и кильсонов в междудонном пространстве обновленного корпуса определяются по формуле: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t</w:t>
      </w:r>
      <w:r>
        <w:rPr>
          <w:rFonts w:ascii="Times New Roman"/>
          <w:b w:val="false"/>
          <w:i w:val="false"/>
          <w:color w:val="000000"/>
          <w:vertAlign w:val="subscript"/>
        </w:rPr>
        <w:t>мн</w:t>
      </w:r>
      <w:r>
        <w:rPr>
          <w:rFonts w:ascii="Times New Roman"/>
          <w:b w:val="false"/>
          <w:i w:val="false"/>
          <w:color w:val="000000"/>
          <w:sz w:val="28"/>
        </w:rPr>
        <w:t xml:space="preserve"> = [t</w:t>
      </w:r>
      <w:r>
        <w:rPr>
          <w:rFonts w:ascii="Times New Roman"/>
          <w:b w:val="false"/>
          <w:i w:val="false"/>
          <w:color w:val="000000"/>
          <w:vertAlign w:val="subscript"/>
        </w:rPr>
        <w:t>ост</w:t>
      </w:r>
      <w:r>
        <w:rPr>
          <w:rFonts w:ascii="Times New Roman"/>
          <w:b w:val="false"/>
          <w:i w:val="false"/>
          <w:color w:val="000000"/>
          <w:sz w:val="28"/>
        </w:rPr>
        <w:t>]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+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(1+2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)(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У1(У2)</w:t>
      </w:r>
      <w:r>
        <w:rPr>
          <w:rFonts w:ascii="Times New Roman"/>
          <w:b w:val="false"/>
          <w:i w:val="false"/>
          <w:color w:val="000000"/>
          <w:sz w:val="28"/>
        </w:rPr>
        <w:t xml:space="preserve"> - 5),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 [t</w:t>
      </w:r>
      <w:r>
        <w:rPr>
          <w:rFonts w:ascii="Times New Roman"/>
          <w:b w:val="false"/>
          <w:i w:val="false"/>
          <w:color w:val="000000"/>
          <w:vertAlign w:val="subscript"/>
        </w:rPr>
        <w:t>ост</w:t>
      </w:r>
      <w:r>
        <w:rPr>
          <w:rFonts w:ascii="Times New Roman"/>
          <w:b w:val="false"/>
          <w:i w:val="false"/>
          <w:color w:val="000000"/>
          <w:sz w:val="28"/>
        </w:rPr>
        <w:t>]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минимально допустимая толщина рассматриваемого конструктивного элемента.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рекомендуемая расчетная скорость изнашивания, определяемая ПСВП, ПССП мм/год.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вместо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скоростей изнашивания или среднестатистической скорости изнашивания конкретной серии судов является предметом специального рассмотрения Регистром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вариации: V=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./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; значение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равным: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V=0,4 - при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 &lt; 0.1 мм/год;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V=0,3 - при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0.1 мм/год;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-стандарт скорости изнашивания, мм/год;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ТУ1(У2) - планируемый после проведения обновления срок службы, принимаемый в зависимости от уровня обновления (для У1 - не менее 15 лет, для У2 - не менее 10 лет).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Независимо от результатов расчета по формуле (1) толщина t</w:t>
      </w:r>
      <w:r>
        <w:rPr>
          <w:rFonts w:ascii="Times New Roman"/>
          <w:b w:val="false"/>
          <w:i w:val="false"/>
          <w:color w:val="000000"/>
          <w:vertAlign w:val="subscript"/>
        </w:rPr>
        <w:t>МН</w:t>
      </w:r>
      <w:r>
        <w:rPr>
          <w:rFonts w:ascii="Times New Roman"/>
          <w:b w:val="false"/>
          <w:i w:val="false"/>
          <w:color w:val="000000"/>
          <w:sz w:val="28"/>
        </w:rPr>
        <w:t>принимается не больше минимальной толщины t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, определенной в соответствии с требованиями ПСВП или ПССП.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Минимально необходимые характеристики балок набора</w:t>
      </w:r>
      <w:r>
        <w:br/>
      </w:r>
      <w:r>
        <w:rPr>
          <w:rFonts w:ascii="Times New Roman"/>
          <w:b/>
          <w:i w:val="false"/>
          <w:color w:val="000000"/>
        </w:rPr>
        <w:t>обновленного судна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Необходимо чтобы минимально необходимый момент сопротивления балок набора с присоединенным пояском был не менее,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W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У1(У2)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np</w:t>
      </w:r>
      <w:r>
        <w:rPr>
          <w:rFonts w:ascii="Times New Roman"/>
          <w:b w:val="false"/>
          <w:i w:val="false"/>
          <w:color w:val="000000"/>
          <w:sz w:val="28"/>
        </w:rPr>
        <w:t>,                         (2)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</w:t>
      </w:r>
      <w:r>
        <w:rPr>
          <w:rFonts w:ascii="Times New Roman"/>
          <w:b w:val="false"/>
          <w:i w:val="false"/>
          <w:color w:val="000000"/>
          <w:vertAlign w:val="subscript"/>
        </w:rPr>
        <w:t>У1(У2)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нормативный коэффициент износа (в соответствии с пунктом 33 настоящих Правил);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np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момент сопротивления поперечного сечения балки набора, регламентированный требованиям ПСВП и ПССП в зависимости от класса судна.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Необходимо чтобы минимально необходимая площадь поперечного сечения отдельных балок набора без присоединенного пояска был не менее,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мн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у1(у2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  <w:r>
        <w:rPr>
          <w:rFonts w:ascii="Times New Roman"/>
          <w:b w:val="false"/>
          <w:i w:val="false"/>
          <w:color w:val="000000"/>
          <w:sz w:val="28"/>
        </w:rPr>
        <w:t>,                         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площадь поперечного сечения балки, регламентированная требованиям ПСВП или ПССП в зависимости от класса судна,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случаях, когда площадь поперечного сечения балки Правилами не регламентирована, в качестве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  <w:r>
        <w:rPr>
          <w:rFonts w:ascii="Times New Roman"/>
          <w:b w:val="false"/>
          <w:i w:val="false"/>
          <w:color w:val="000000"/>
          <w:sz w:val="28"/>
        </w:rPr>
        <w:t>, принимается проектная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                             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поперечного сечения балки.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Необходимо чтобы минимально необходимая толщина элемента балки набора был не менее, мм: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МН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У1(У2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.t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  <w:r>
        <w:rPr>
          <w:rFonts w:ascii="Times New Roman"/>
          <w:b w:val="false"/>
          <w:i w:val="false"/>
          <w:color w:val="000000"/>
          <w:sz w:val="28"/>
        </w:rPr>
        <w:t>,                          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толщина элемента балки набора, мм, принимаемая по схеме, реализованной в пункте 31 настоящих Правил применительно к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Значения нормативного коэффициента износа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У1(У2)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уровня обновления (У1 или У2) принимаются: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продольных холостых балок комингса, палубы, днища, настила второго дна, ширстрека и продольных балок рамного набора: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средней части судна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0,98;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0,96 - для судов внутреннего плавания;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0,95;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0,90 - для судов смешанного (река-море) плавания;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оконечностях судна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0,96;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0,91 - для судов внутреннего плавания;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0,85 - для судов смешанного (река-море) плавания;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поперечных балок набора (холостых и рамных шпангоутов наружного и внутреннего бортов), холостого и рамного набора переборок и др.: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любом участке длины судна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0,98;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0,96 - для судов внутреннего плавания;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0,95;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0,90 - для судов смешанного (река-море) плавания;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остальных балок набора: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любом участке длины судна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0,98;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0,92 - для судов внутреннего плавания;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y1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0,9; 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y2 </w:t>
      </w:r>
      <w:r>
        <w:rPr>
          <w:rFonts w:ascii="Times New Roman"/>
          <w:b w:val="false"/>
          <w:i w:val="false"/>
          <w:color w:val="000000"/>
          <w:sz w:val="28"/>
        </w:rPr>
        <w:t>= 0,8 - для судов смешанного (река-море) плавания.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обоснованного расчетами подкрепления балок набора значения нормативного коэффициента износа снижаются, но для обоих уровней обновления не должны быть меньше 0,60 (0,70) для балок, перечисленных в подпункте 1) пункта 33 настоящих Правил, и 0,50 (0,60) для балок, перечисленных в подпунктах 2), 3) пункта 33 настоящих Правил (в скобках для судов класса "М-СП").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5. Расчетная проверка общей прочности корпуса</w:t>
      </w:r>
      <w:r>
        <w:br/>
      </w:r>
      <w:r>
        <w:rPr>
          <w:rFonts w:ascii="Times New Roman"/>
          <w:b/>
          <w:i w:val="false"/>
          <w:color w:val="000000"/>
        </w:rPr>
        <w:t>обновленного судна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выбранного уровня обновления (У1 или У2) выполняется проверка фактической общей прочности обновленного корпуса в расчетных поперечных сечениях.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этом значения нормативных коэффициентов запаса прочности должны быть увеличены по сравнению с регламентируемыми указанной частью Правил на 10 % для уровня обновления У1 и на 5 % для уровня обновления У2.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Обновление механизмов судна</w:t>
      </w:r>
      <w:r>
        <w:br/>
      </w:r>
      <w:r>
        <w:rPr>
          <w:rFonts w:ascii="Times New Roman"/>
          <w:b/>
          <w:i w:val="false"/>
          <w:color w:val="000000"/>
        </w:rPr>
        <w:t>§ 1. Общие указания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о ремонте или замене тех или иных технических средств или оборудования в составе работ по обновлению судна принимается по согласованию с Регистром судоходства. При этом рассматривается техническое состояние всех технических средств и оборудования судна, перечисленных в правилах Регистра судоходства, и выделяется группа объектов обновления, надлежащее техническое состояние которых наиболее важно для обновленного судна. При выборе этих объектов помимо, указанного учитывается следующее: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наработка объекта за все время эксплуатации;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ресурс объекта до списания, установленный организацией изготовителем;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судна, косвенно свидетельствующий об износе судовых котлов, воздухохранителей, трубопроводов и т.п.;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дефектации объекта.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Проект обновления механизмов должен включать в себя: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ремонта или замены технических средств или их узлов с учетом результатов дефектации и прогнозирования остаточного ресурса незаменяемого оборудования, устройств и трубопроводов;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монтаж всего заменяемого оборудования, включая документацию на изготовление и установку новых фундаментов, аппаратуры управления, защиты и сигнализации (при необходимости);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требования по восстановлению незаменяемых элементов технических средств, оборудования, устройств и систем согласно действующим нормативным документам и согласованными с Регистром судоходства ТУ.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Условия обеспечения уровней обновления механизмов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зависимости от выбранного уровня обновления, применительно к выбранным для обновления объектам, выполняются работы в соответствии с указаниями,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монтажа или ремонта технических средств, оборудования и систем проводятся их испытания, в том числе гидравлические, в соответствии с требованиями Правил Регистра судоходства или техническими требованиями чертежей проекта обновления.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Капитальный и средний ремонт двигателей в корпусе судна допускаются только при наличии согласованных с Регистром судоходства ТУ. Текущий ремонт двигателей производится без технического наблюдения Регистра судоходства.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Работнику Регистра судоходства после окончания монтажных работ предъявляются акты органов технического контроля организации на выполненные работы, сертификаты или иные документы на примененные материалы, сменные детали, комплектующие, а также другие необходимые документы: чертежи, описания, схемы, формуляры или паспорта, инструкции по обслуживанию.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завершения всех монтажных, ремонтных и модернизационных работ, судно предъявляется к швартовным и ходовым испытаниям. Испытания проводятся в соответствии с программой и методиками, разработанными в составе проекта обновления и согласованными с Регистром судоходства. Результаты испытаний и контрольного выхода (при необходимости) оформляются в виде соответствующих протоколов испытаний.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завершающем этапе обновления механизмов работником Регистра судоходства оформляются документы, перечисленные в параграфе 5 главы 1 настоящих Правил.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Указания по обновлению электрического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§ 1. Общие указания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Решение об обновлении тех или иных изделий, входящих в состав электрического оборудования, принимается по согласованию с Регистром судоходства. Выбор объектов обновления осуществляется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Дефектацию электрического оборудования следует производить в полном объеме.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дефектации кабельных трасс проводятся: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осмотр кабелей на всей их длине;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состояния оконцеваний и маркировки;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сопротивления изоляции как между каждой жилой и корпусом, так и между самими жилами;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состояния изоляции кабелей с применением современных средств диагностики, позволяющих выявить механические повреждения, тепловое старение, увлажнение изоляции, а также сделать заключение о возможности дальнейшей эксплуатации кабелей по косвенным признакам путем определения упруго-деформированных и упруго-эластичных свойств резиновых оболочек.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Проект обновления электрического оборудования содержит: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таблицу режимов нагрузки и расчет необходимой мощности электростанции для обеспечения всех режимов работы судна, а также обоснование числа и мощности генераторов;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монтаж всего заменяемого электрического оборудования, включая документацию на установку аппаратуры управления, защиты и сигнализации;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требования по ремонту незаменяемых элементов электрического оборудования согласно действующим НТД или специально разработанным ТУ.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Условия обеспечения уровней обновления электрического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зависимости от выбранного уровня обновления на судне выполняются работы в соответствии с указаниями,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Электрические машины, прошедшие ремонт в специализированных цехах согласно ТУ, испытываются на специальном стенде с оформлением актов о выполненных ремонтных работ и испытаниях.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Испытания устройств максимальной и тепловой защиты проводятся в соответствии с правилами Регистра судоходства.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Контроль за монтажными работами, испытаниями в действии электрического оборудования на судне осуществляется в соответствии с указанными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41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завершающем этапе обновления электрического оборудования работником Регистра судоходства оформляются документы, перечисленные в параграфе 5 главы 1 настоящих Правил.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 намерении обновления судна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Судовладелец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номер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Основные технические данные судна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Строительный № ___________________________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Год и место постройки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Корпус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размерения, м: длина по КВЛ ________________; ширина по КВЛ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набора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дно машинного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Главные двигатели/дизель - генераторы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Мощность, частота вращения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изготовления _____________; год установки на судно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капитальных ремонтов каждого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каждого двигателя после последнего капитального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Вспомогательные дизель - генераторы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Мощность, частота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изготовления ___________; год установки на судно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капитальных ремонтов каждого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каждого двигателя после последнего капитального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Аварийные дизель - генераторы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Мощность, частота вращения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изготовления ___________; год установки на судно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капитальных ремонтов каждого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каждого двигателя после последнего капитального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Другие сведения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и оборудование машинного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Прилагаемые документы: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Акт(-ы) последнего очередного освидетельствования планируемого(-ых) к обновлению элементов судна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Заверенные работником Регистра судоходства результаты последней дефектации: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(место проведения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средств и оборудования машинного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(место проведения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(место проведения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(место проведения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Предпроектный анализ технического состояния элементов судна с предполагаемым объемом обновления: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"Регистр судоходства"</w:t>
      </w:r>
      <w:r>
        <w:br/>
      </w:r>
      <w:r>
        <w:rPr>
          <w:rFonts w:ascii="Times New Roman"/>
          <w:b/>
          <w:i w:val="false"/>
          <w:color w:val="000000"/>
        </w:rPr>
        <w:t>Комитета транспорта и путей сообщения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транспорта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обновлении судна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Уровень обновления 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номер судна ___________ Регистровый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до обновления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судна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постройки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обновления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обновления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обновленного судна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обновленного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приписки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удостоверяется, что конструкция, состав, комплектность, расположение, установка, технические характеристики и техническое состояние элементов судна соответствуют требованиям Правил Регистра судоходства и Правил по обновлению судов внутреннего водного плавания и судов плавания "река-море".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произведенных при обновлении работ и результаты испытаний зафиксированы в Акте внеочередного/первоначального освидетельствования № _____ от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Техническое состояние обновленного судна обеспечивает возможность его эксплуатации в спецификационных условиях не менее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судно выдано новое Классификационное свидетельство, приложенное к Свидетельству о годности к плаванию под номером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Свидетельство приложено к Свидетельству о годности к плаванию под номером.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Работник Регистр судоходства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(подпись)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"Регистр судоходства"</w:t>
      </w:r>
      <w:r>
        <w:br/>
      </w:r>
      <w:r>
        <w:rPr>
          <w:rFonts w:ascii="Times New Roman"/>
          <w:b/>
          <w:i w:val="false"/>
          <w:color w:val="000000"/>
        </w:rPr>
        <w:t>Комитета транспорта и путей сообщения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транспорта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обновлении корпуса судна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Уровень обновления 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номер судна ___________ Регистровый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до обновления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судна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постройки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обновления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обновления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обновленного судна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обновленного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приписки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удостоверяется, что конструкция, состав, комплектность, расположение, установка, технические характеристики и техническое состояние элементов корпуса судна соответствуют требованиям Правил Регистра судоходства и Правил по обновлению судов внутреннего водного плавания и судов плавания "река-море".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произведенных при обновлении корпуса работ и результаты испытаний зафиксированы в Акте внеочередного/первоначального освидетельствования № _____ от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Техническое состояние обновленного судна обеспечивает возможность его эксплуатации в спецификационных условиях не менее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Свидетельство приложено к Свидетельству о годности к плаванию под номером.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Работник Регистр судоходства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(подпись)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"Регистр судоходства"</w:t>
      </w:r>
      <w:r>
        <w:br/>
      </w:r>
      <w:r>
        <w:rPr>
          <w:rFonts w:ascii="Times New Roman"/>
          <w:b/>
          <w:i w:val="false"/>
          <w:color w:val="000000"/>
        </w:rPr>
        <w:t>Комитета транспорта и путей сообщения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транспорта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обновлении судовых механизмов и оборудования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Уровень обновления 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номер судна _______________ Регистровый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до обновления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судна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постройки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обновления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обновления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обновленного судна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обновленного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приписки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удостоверяется, что конструкция, состав, комплектность, расположение, установка, технические характеристики и техническое состояние судовых механизмов и оборудования соответствуют требованиям Правил Регистра судоходства и Правил по обновлению судов внутреннего водного плавания и судов плавания "река-море".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произведенных при обновлении механизмов и оборудования работ и результаты испытаний зафиксированы в Акте внеочередного/первоначального освидетельствования № _____ от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Техническое состояние механизмов и оборудования обновленного судна обеспечивает возможность его эксплуатации в спецификационных условиях не менее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Свидетельство приложено к Свидетельству о годности к плаванию под номером.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Работник Регистр судоходства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(подпись)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"Регистр судоходства"</w:t>
      </w:r>
      <w:r>
        <w:br/>
      </w:r>
      <w:r>
        <w:rPr>
          <w:rFonts w:ascii="Times New Roman"/>
          <w:b/>
          <w:i w:val="false"/>
          <w:color w:val="000000"/>
        </w:rPr>
        <w:t>Комитета транспорта и путей сообщения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транспорта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обновлении судового электрического оборудования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Уровень обновления 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номер судна _______________ Регистровый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до обновления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судна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постройки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 номер проекта обновления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обновления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обновленного судна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обновленного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приписки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удостоверяется, что конструкция, состав, комплектность, расположение, установка, технические характеристики и техническое состояние судового электрического оборудования соответствуют требованиям Правил Регистра судоходства и Правил по обновлению судов внутреннего водного плавания и судов плавания "река-море".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произведенных при обновлении электрического оборудования работ и результаты испытаний зафиксированы в Акте внеочередного/первоначального освидетельствования № _____ от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Техническое состояние электрического оборудования обновленного судна обеспечивает возможность его эксплуатации в спецификационных условиях не менее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Свидетельство приложено к Свидетельству о годности к плаванию под номером.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Работник Регистр судоходства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(подпись)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работ по обеспечению уровней обновления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той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той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корпусе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той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(замена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дизельгенератор большей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в случае,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снабжения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обновленного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требуется большая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электростанции,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это было необходимо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обновляемого судна).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двигателей той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Редукторы,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реверс-редукторы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аналогии с пункта 1 настоящей таблицы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Валопроводы: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упорные,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соединений,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дейдвудные трубы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гребные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изделий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размеров 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заменой главных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валов.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валов.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гребных валов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 установкой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подшипников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Винты гребные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отремонтированных винтов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геометрическими размерами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отремонтированных винтов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насосов,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с проведением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испытаний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 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судов с заменяемой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цилиндрической вставкой 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систем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с проведением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с 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газоотводная;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инертных газов;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искрогашения;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всех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цилиндрической вставки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дефектация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тех же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носовой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оконечностях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 судоходства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 судоходства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Котлы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 установкой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по усмотрению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судовладельца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Системы,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вызывает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коррозию внутри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осушения;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нефтеналивных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насосов,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с проведением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испытаний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 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судов с заменяемой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цилиндрической вставкой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систем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должны быть новыми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с проведением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с 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 и др.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Дефектация с проведением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испытаний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 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пункта 3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с проведением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с 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Насосы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Дефектация и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изделий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предельного износа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в особенности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проточных частей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Дефектация и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изделий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предельного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износа их элементов,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Сосуды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Устройства: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рулевое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рули, насадки,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гельмпортовые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сальники;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рулевой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на баллер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румпели, упоры,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пружины, тяги);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рулевые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рулевые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рулевых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гидропривода,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гидронасосы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гидронасосов той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гидронасосов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повышенным ресурсом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Дефектация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гидронасосов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рулевые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электрогидравли-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 установкой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машин. Указание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на рулевые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элементы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нецелесообразно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физическим или моральным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износом, а также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пропульсивных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судна 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сменой главных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Дефектация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подруливающее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якорное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снабжения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большую сторону назначается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якорное 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характеристике снабжения,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замена якорей,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якорных цепей, брашпилей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швартовное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цилиндрической вставки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люковых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закрытий с изменением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подъема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люковых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шлюпочное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Дефектация и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Дооснащение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фильтрующим оборудованием,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станцией очистки сточных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для танкеров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2000 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комплектом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аварийных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разливов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Дефектация и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танкеров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т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в объеме,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предписанном Правилами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работ по обеспечению уровней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Генераторы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валогенераторы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изделий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той же 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Капитальный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Преобразователи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Капитальный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рулевых устройств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ДАУ или 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электродвигателей.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Капитальный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подруливающих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Капитальный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Электродвигатели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насосов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 осушения,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компрессоров, котлов,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электродвигателей.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Капитальный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Капитальный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Силовые кабельные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и сети основного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с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приборов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неисправных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новыми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с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замена неисправных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новыми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цепи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с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приборов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неисправных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новыми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с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замена неисправных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новыми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Трансформаторы,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дроссели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усилители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ремонт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Главный и аварийный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неисправных приборов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новыми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аппаратуры новыми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Аппаратура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рулевых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подруливающих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швартовных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главными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котлами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Цепи аварийно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Замена с монтажом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цепей.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Дефектация и 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неисправных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и 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неисправных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Силовые кабельные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наливных судов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цилиндрической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 монтажом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в случае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цилиндрической вставки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