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0e58" w14:textId="5ea0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формы проверочного листа в сфере частного предпринимательства по проверкам за системой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образования и науки Республики Казахстан от 11 февраля 2011 года № 55 и Министра экономического развития и торговли Республики Казахстан от 16 февраля 2011 года № 37. Зарегистрирован в Министерстве юстиции Республики Казахстан 14 марта 2011 года № 6803. Утратил силу совместным приказом Министра образования и науки Республики Казахстан от 23 июля 2013 года № 293 и Первого Заместителя Премьер-Министра Республики Казахстан - Министра регионального развития Республики Казахстан от 26 июля 2013 года № 160/7118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образования и науки РК от 23.07.2013 № 293 и Первого Заместителя Премьер-Министра РК - Министра регионального развития РК от 26.07.2013 № 160/7118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статей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сфере частного предпринимательства по проверкам за системой образования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частного предпринимательства по проверкам за системой образования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(Орунханов М.К.)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совместного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образования и науки Республики Казахстан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_______________С. Ирсалиев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февраля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____________Ж. Айтжанова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16 февраля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2011 года № 55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2011 года № 37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в сфере частного предпринимательства по</w:t>
      </w:r>
      <w:r>
        <w:br/>
      </w:r>
      <w:r>
        <w:rPr>
          <w:rFonts w:ascii="Times New Roman"/>
          <w:b/>
          <w:i w:val="false"/>
          <w:color w:val="000000"/>
        </w:rPr>
        <w:t>
проверкам за системой образования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риска в сфере частного предпринимательства по проверкам за системой образования (далее - Критерии) разработаны для проведения плановых проверок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снижения качества предоставляемых образовательных услуг организациями образования, которая может повлечь за собой нарушение конституционных прав и свобод граждан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- юридические лица, осуществляющие образовательную деятельность по уровням образования: начальное, основное среднее; среднее (общее среднее, техническое и профессиональное), послесреднее; высшее; послевузовское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весовой коэффициент – коэффициент, задаваемый в зависимости от качественного показателя критерия для оценки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организаций образования к степеням риска в области образования осуществляется с учетом набранных баллов, исходя из сведений их деятельности, входящих в Критерии, результатов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организации образования распределяются по степеням риска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образовательную деятельность высшего и послевузовского образования, набравшие от 10 до 40 баллов относятся к высокой степени риска, от 41 до 70 к средней степени риска, от 71 до 100 к незначительной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осуществляющие образовательную деятельность технического и профессионального, послесреднего образования, набравшие от 10 до 20 баллов относятся к высокой степени риска, от 21 до 40 к средней степени риска, от 41 до 100 к незначительной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осуществляющие образовательную деятельность начального, основного среднего и общего среднего образования набравшие от 10 до 25 баллов относятся к высокой степени риска, от 26 до 40 к средней степени риска, от 41 до 100 к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оценки степени риска используются критерии,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Бальное значение і-го критерия Пі определяется по формуле: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Пі = Ді х Кij                 (1)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Ді - доля i-того критерия от их общего показателя (в баллах),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Кij - весовой коэффициент для i-того критерия, где Кij = 0,1; 0,5; 1,0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(при j = 1; 2;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Суммарный показатель Pk для оценки уровня рисков k-той организации образования определяется по формуле: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Рk = </w:t>
      </w: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Пі = 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(Ді х Кij)            (2)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балл составляет 100 баллов, минимальный —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суммарному показателю Pk определяется зона риска для k-той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Зоны по степеням рисков для каждого уровня образования определяются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степени риска в сфере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проверкам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системой образования  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Для организаций образования, осуществляющих образовательную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деятельность высшего и послевузовского образования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333"/>
        <w:gridCol w:w="1853"/>
        <w:gridCol w:w="4833"/>
        <w:gridCol w:w="2313"/>
      </w:tblGrid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 для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(Пі)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сумме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баллах),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 показатели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весового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Кіj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(П1)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аккредитация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аккредитация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Неучастие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(П2)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(менее 30 %)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(более 30 %)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 от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остепененность (П3)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 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показателя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по обеим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учебно-лабораторным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(П4)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Морально устаревшее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(П5)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выполняются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обновляемости литературы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(процент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(П6)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9 % и ниже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(10-24 %)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и выше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 при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вуз (средний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тестирования), (П7)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80-100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51-79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45-50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вуза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 (П8)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 100 % и выше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нормы, 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91-99 % от нормы,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менее 90 % от нормы,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законов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(П9)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студентов,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заказу (П10)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61-100 %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31-60 %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0-30 %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студентов,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(дневная/(дневная+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заочная+вечерняя),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(П11)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 и выше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51-74 %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и ниже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 (П12)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лет и выше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16-24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степени риска в сфере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проверкам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системой образования  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Для организаций образования, осуществляющих образовательную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деятельность технического и профессионального, послесреднего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образования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293"/>
        <w:gridCol w:w="1893"/>
        <w:gridCol w:w="4793"/>
        <w:gridCol w:w="2373"/>
      </w:tblGrid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 для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(Пі)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сумме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баллах),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 показатели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весового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Кіj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(П1)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(менее 30 %)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(более 30 %)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 от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(П2)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 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 показателей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обоих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учебно-лабораторным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(П3)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частично морально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устаревшего оборудования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(П4)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выполняются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обновляемости литературы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законов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(П5)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обучающегося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(П6)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обучение 100 %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от установленной нормы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91-99 %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 нормы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менее 90 %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 нормы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обучающихся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заказу (П7)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61-100 %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31-60 %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0-30 %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обучающихся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(дневная/(дневная+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заочная+вечерняя),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П8)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 и выше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51-74 %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и ниже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деятельности организации образования (П9)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лет и выше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16-24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степени риска в сфере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проверкам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системой образования  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Для организаций образования, осуществляющих образовательную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деятельность начального, основного среднего и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образования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293"/>
        <w:gridCol w:w="1873"/>
        <w:gridCol w:w="4813"/>
        <w:gridCol w:w="2373"/>
      </w:tblGrid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 для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риска, (Пі)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сумме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баллах),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 показатели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весового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Кіj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(П1)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учителей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первой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(П2)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 30 %)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(П3)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80 и выше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51-79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45-50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призеров-участников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конкурсов,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обладателей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белгі» (П4)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Призеры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конкурсов,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обладатели знака «Алтын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Призеры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конкурсов, олимпиад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(П5)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выполняются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обновляемости литературы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(П6)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100 %-ная сдача ПГК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Сдали ПГК 93-99 % учащихся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преодолели пороговый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нормы (П7)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от нормы до 10 %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от нормы от 10 %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от нормы более 50 %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степени риска в сфере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проверкам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системой образования  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Зоны по степеням риска для каждого уровня образования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5213"/>
        <w:gridCol w:w="6733"/>
      </w:tblGrid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по степеням риска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Рk, баллы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с высокой степенью риска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баллов (33,3 %)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со средней степенью риска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41-70 баллов (33,3 %)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с незначительной степенью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71-100 баллов (33,3 %)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Колледжи и профессиональные лицеи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с высокой степенью риска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баллов (11,1 %)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со средней степенью риска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21-40 баллов (22,2 %)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с незначительной степенью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41-100 баллов (66,7 %)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с высокой степенью риска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сельских школ: 10-15 баллов (5,6 %);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городских школ: 10-25 баллов (16,7 %)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со средней степенью риска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сельских школ: 16-25 баллов (11,1 %);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городских школ: 26-40 баллов (16,7 %)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с незначительной степенью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сельских школ: 26-100 баллов (83,3 %);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городских школ: 41-100 баллов (67,7 %).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2011 года № 55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2011 года № 37  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 </w:t>
      </w:r>
      <w:r>
        <w:rPr>
          <w:rFonts w:ascii="Times New Roman"/>
          <w:b/>
          <w:i w:val="false"/>
          <w:color w:val="000000"/>
          <w:sz w:val="28"/>
        </w:rPr>
        <w:t>проверкам за системой образования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Орган, назначивший проверку: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контроля: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организации образования (юридический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электронный адрес):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РНН (БИН):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 назначении проверки: «___» _____ 20__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153"/>
        <w:gridCol w:w="453"/>
        <w:gridCol w:w="593"/>
        <w:gridCol w:w="673"/>
        <w:gridCol w:w="773"/>
        <w:gridCol w:w="773"/>
      </w:tblGrid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образовательной деятельности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УРП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уровням образования).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перевода и 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 организациях образования (по уровням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образования).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Доля штатных преподавателей от их общего числа.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Доля штатных ППС с учеными степенями и учеными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званиями от их общего числа, в том числе по базовым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профильным дисциплинам ГОСО.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Доля преподавателей с почетными званиями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имеющих диплом об окончании военных академий,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университетов в области гражданской обороны,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чрезвычайных ситуаций, в воинском звании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полковника, проходивших службу в 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подразделениях, имеющих звание «мастер спорта» и выше,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числа штатных преподавателей, в том числе по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профильным дисциплинам ГОСО.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Численность штатных докторов наук, докторов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философии (PhD) и докторов по профилю по каждой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подготовки, имеющих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научно-педагогической работы не менее 3 лет.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ученых со степенями доктор философии (PhD)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по профилю.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Доля преподавателей высшей и первой категорий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магистров, кандидатов, докторов наук, докторов философии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(PhD), докторов по профилю, с учеными званиями от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Наличие фонда учебной, учебно-методической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литературы по отношению к контингенту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полный цикл обучения. Пропорциональность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 на казахском и русском языках контингенту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языкам обучения.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Наличие учебной, учебно-методической и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на электронных и магнитных носителях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 объеме.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Наличие изданий основной учебной литературы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дисциплинам социально-гуманитарного профиля за 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лет; по естественным, 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 и другим дисциплинам — за 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Наличие собственных, принадлежащих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 или оперативного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и нематериальных активов.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Соответствие учебной площади на 1 обучающегося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 Оснащенность компьютерным классом,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учебно-лабораторным оборудованием и 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обучения, приборным обеспечением, фондовым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материалом.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Соответствие минимальных расходов на один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одного обучающегося уровню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постановлением Правительства РК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государственного заказа на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на соответствующий учебный год.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Наличие договоров с организациями, определенными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баз практики.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Наличие медицинского обслуживания 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для обучающихся.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 Ведение лекций профессорами, доцентами, старшими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преподавателями.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 Укомплектованность кафедры.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 Остепененность кафедры.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 Проведение научно-исследовательской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деятельности, 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 Соответствие рабочих учебных планов и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программ государственным общеобязательным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образования.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 Соответствие контингента обучающихся в расчете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преподавателя государственным общеобязательным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образования (в соответствии с ГОСО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5.03.008-2009 «Система образования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 обучающихся». Основные положения).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 Соответствие наполняемости классов и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санитарным правилам и нормам.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 Реализация профессиональных 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послевузовского образования: по 1-2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 высшего образования — институты; по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группам специальностей 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— академии; по 3 и более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 высшего и послевузовского образования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университеты.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 –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–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УРП – устранены в рабочем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ПН –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УПП — устранение при повторной проверке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ППС – профессорско-преподавательский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ГОСО – государственный общеобязательный стандарт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PhD – доктор философии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 «___»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(Ф.И.О.)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 «___»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(Ф.И.О.)        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