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6865a" w14:textId="cf686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№ 65 от 24 мая 2010 года "О проведении призыва на срочную воинскую службу в апреле-июне и октябре-декабре 2010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Шемонаихинского районного акимата Восточно-Казахстанской области от 18 октября 2010 года N 177. Зарегистрировано Управлением юстиции Шемонаихинского района Департамента юстиции Восточно-Казахстанской области 11 ноября 2010 года за N 5-19-132. Прекращено действие по истечении срока, на который постановление было принято (письмо акима Шемонаихинского района от 15 апреля 2011 года № 1/1205)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Прекращено действие по истечении срока, на который постановление было принято (письмо акима Шемонаихинского района от 15.04.2011 № 1/1205).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нормативных правовых актах» акимат Шемонаихинского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Шемонаихинского района № 65 от 24 мая 2010 года «О проведении призыва на срочную воинскую службу в апреле-июне и октябре- декабре 2010 года» (зарегистрировано в Реестре государственной регистрации нормативных правовых актов за № 5-19-122 от 02 июля 2010 года, опубликовано 23 июля 2010 года в газете «ЛЗ Сегодня», № 31)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заменить приложением,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Шемонаихинского района              А. Каримов</w:t>
      </w:r>
    </w:p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Шемонаихинского района          М. Чурбанов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Шемонаихинского района              Р. Рамазанов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КГКП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«Медицинское объединение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Шемонаихинского района»                 Т. Абайдельдинов</w:t>
      </w:r>
    </w:p>
    <w:bookmarkStart w:name="z2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постановлению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Шемонаихинского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18 октября 2010 года № 177 </w:t>
      </w:r>
    </w:p>
    <w:bookmarkEnd w:id="3"/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ГРАФИК</w:t>
      </w:r>
      <w:r>
        <w:br/>
      </w:r>
      <w:r>
        <w:rPr>
          <w:rFonts w:ascii="Times New Roman"/>
          <w:b/>
          <w:i w:val="false"/>
          <w:color w:val="000000"/>
        </w:rPr>
        <w:t xml:space="preserve">
проведения призыва граждан Шемонаихинского района </w:t>
      </w:r>
      <w:r>
        <w:br/>
      </w:r>
      <w:r>
        <w:rPr>
          <w:rFonts w:ascii="Times New Roman"/>
          <w:b/>
          <w:i w:val="false"/>
          <w:color w:val="000000"/>
        </w:rPr>
        <w:t>
на воинскую службу в октябре-декабре 2010 года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5"/>
        <w:gridCol w:w="2028"/>
        <w:gridCol w:w="754"/>
        <w:gridCol w:w="535"/>
        <w:gridCol w:w="519"/>
        <w:gridCol w:w="486"/>
        <w:gridCol w:w="486"/>
        <w:gridCol w:w="438"/>
        <w:gridCol w:w="503"/>
        <w:gridCol w:w="487"/>
        <w:gridCol w:w="519"/>
        <w:gridCol w:w="454"/>
        <w:gridCol w:w="535"/>
        <w:gridCol w:w="503"/>
        <w:gridCol w:w="470"/>
        <w:gridCol w:w="487"/>
        <w:gridCol w:w="454"/>
        <w:gridCol w:w="438"/>
        <w:gridCol w:w="519"/>
        <w:gridCol w:w="487"/>
        <w:gridCol w:w="471"/>
        <w:gridCol w:w="503"/>
        <w:gridCol w:w="519"/>
      </w:tblGrid>
      <w:tr>
        <w:trPr>
          <w:trHeight w:val="30" w:hRule="atLeast"/>
        </w:trPr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судимые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2968"/>
        <w:gridCol w:w="797"/>
        <w:gridCol w:w="446"/>
        <w:gridCol w:w="506"/>
        <w:gridCol w:w="701"/>
        <w:gridCol w:w="686"/>
        <w:gridCol w:w="686"/>
        <w:gridCol w:w="719"/>
        <w:gridCol w:w="719"/>
        <w:gridCol w:w="719"/>
        <w:gridCol w:w="716"/>
        <w:gridCol w:w="671"/>
        <w:gridCol w:w="779"/>
        <w:gridCol w:w="764"/>
      </w:tblGrid>
      <w:tr>
        <w:trPr>
          <w:trHeight w:val="270" w:hRule="atLeast"/>
        </w:trPr>
        <w:tc>
          <w:tcPr>
            <w:tcW w:w="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Вавилонский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Выдрихинский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Волчанский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Каменевский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Усть-Таловский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Разинский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Верх-Убинский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Зевакинский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Первомайский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Шемонаиха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судимые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</w:t>
            </w:r>
          </w:p>
        </w:tc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отдела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обороны Шемонаихинского района                М. Чурбанов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