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fc35" w14:textId="6af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Шемонаихинского районного акимата Восточно-Казахстанской области от 24 мая 2010 года N 65. Зарегистрировано Управлением юстиции Шемонаихинского района Департамента юстиции Восточно-Казахстанской области 02 июля 2010 года за N 5-19-122. Прекращено действие по истечении срока, на который постановление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2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 Шемонаихинского района от 15.04.2011 № 1/1205).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  государственном управлений и самоуправлении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нa срочную воинскую службу в апреле — 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"О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 на срочную воинскую службу в апреле- июне и октябре-декабре 2010 года», акимат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ряды Вооруженньк сил, других войск и воинских формирований Республики Казахстан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и утвердить персональный состав районной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работы районной призывной комиссии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поселков и сельских округов, для своевременного и организованного проведения призыва граждан на срочную воинскую службу: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полную и своевременную явку граждан, в возрасте от восемнадцати до двадцати семи лет, не имеющих права на отсрочку или освобождение от призыва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перевозку призывников в сопровождении представителей аппаратов акимов поселков,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подготовку и предоставление на призывную комиссию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КГКП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района» Управления Здравоохранения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Казахстанского областного акимата (Абайдельдинову Т.М.,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взять под контроль работу медицинской комиссии, качество освидетельствования граждан, призываемых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укомплектованию районной медицинской комиссии отдела по делам обороны (ОДО) врачами - специалистами, средним медицинским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 Департамента внутренних дел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Казахстанской области» (Рамазанову Р.Т.,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розыск призывников, уклоняющихся от призыва, поддержание порядка на призывном пункте и в период отправки призывников на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на территории ОДО дежурство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Начальникам отделов внутренней политики (Степанова T.С.), культуры и развития языков (Сельтеева А.К.) в период призыва принять активное участие в организации и проведении воспитательных мероприятий с призывной молодежью, организовать торжественные проводы и встречи с ветеранами войны и труда Вооруженных сил в период формирования и отправок команд с районного призывного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Начальнику отдела финансов Шемонаихинского района (Крузмягина Н.Р.) произвести финансирование мероприятий по организации призыва граждан в размерах,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бюджетом района на 2010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своевременного и организованного проведения призыва граждан Республики Казахстан в Вооруженные силы принять на работу служащих в количестве 4 человека (техработники). Оплату производить в пределах ассигнований, определенных бюджетом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 А. Каримов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 М. Чурбанов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Шемонаихинского района   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«Медицинское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района»                 Т. Абайдельдинов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2010 года № 65   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 на срочную воинскую службу в</w:t>
      </w:r>
      <w:r>
        <w:br/>
      </w:r>
      <w:r>
        <w:rPr>
          <w:rFonts w:ascii="Times New Roman"/>
          <w:b/>
          <w:i w:val="false"/>
          <w:color w:val="000000"/>
        </w:rPr>
        <w:t>
апреле-июне и октябре-декабре 2010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6193"/>
      </w:tblGrid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Чурбанов Марат Давлетканович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Шемонаихинского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Колтунова Татьяна Дмитриевна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Шемонаихинского района, заместитель председателя комиссии.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 Ерлан Армиянович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Шемонаихинского района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Жампеисова Толеужамал Агзамовна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терапевт,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Семенчукова Светлана Юрьевна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медицинской комиссии,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    Ж. Калиева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2010 года № 65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новой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от 18.10.2010 № 177 (вводится в действие по истечении десяти календарных дней со дня первого официального опубликования).   </w:t>
      </w:r>
    </w:p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призыва граждан Шемонаихинского района 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октябре-декабре 2010 года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028"/>
        <w:gridCol w:w="754"/>
        <w:gridCol w:w="535"/>
        <w:gridCol w:w="519"/>
        <w:gridCol w:w="486"/>
        <w:gridCol w:w="486"/>
        <w:gridCol w:w="438"/>
        <w:gridCol w:w="503"/>
        <w:gridCol w:w="487"/>
        <w:gridCol w:w="519"/>
        <w:gridCol w:w="454"/>
        <w:gridCol w:w="535"/>
        <w:gridCol w:w="503"/>
        <w:gridCol w:w="470"/>
        <w:gridCol w:w="487"/>
        <w:gridCol w:w="454"/>
        <w:gridCol w:w="438"/>
        <w:gridCol w:w="519"/>
        <w:gridCol w:w="487"/>
        <w:gridCol w:w="471"/>
        <w:gridCol w:w="503"/>
        <w:gridCol w:w="519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028"/>
        <w:gridCol w:w="803"/>
        <w:gridCol w:w="542"/>
        <w:gridCol w:w="481"/>
        <w:gridCol w:w="481"/>
        <w:gridCol w:w="695"/>
        <w:gridCol w:w="695"/>
        <w:gridCol w:w="726"/>
        <w:gridCol w:w="726"/>
        <w:gridCol w:w="726"/>
        <w:gridCol w:w="726"/>
        <w:gridCol w:w="680"/>
        <w:gridCol w:w="788"/>
        <w:gridCol w:w="773"/>
      </w:tblGrid>
      <w:tr>
        <w:trPr>
          <w:trHeight w:val="27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