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174" w14:textId="bb0a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2009 года № 20/3-IV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13 декабря 2010 года N 27/2-IV. Зарегистрировано управлением юстиции Глубоковского района Департамента юстиции Восточно-Казахстанской области 21 декабря 2010 года за N 5-9-140.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2010 года № 25/307-IV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2539),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2010-2012 годы» от 24 декабря 2009 года № 20/3-IV (зарегистрировано в Реестре государственной регистрации нормативных правовых актов № 5-9-119, опубликовано в газетах «Ақ бұлақ» от 7 и 15 января 2010 года № 2, 3, «Огни Прииртышья» от 7 и 15 января 2010 года № 2,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«2554724» заменить цифрами «2554722,7»;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«1625204» заменить цифрами «1625202,7»;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«2558616,8» заменить цифрами «2558615,5»;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«107209» заменить цифрами «107207,7»;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«1619» заменить цифрами «1617,7»;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«I. 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«2554724» заменить цифрами «2554722,7»;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«1625204» заменить цифрами «1625202,7»;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«1625204» заменить цифрами «1625202,7»;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«Трансферты из областного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«1625204» заменить цифрами «1625202,7»;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«II.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«2558616,8» заменить цифрами «2558615,5»;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«40756» заменить цифрами «40754,7»;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«14464» заменить цифрами «14462,7»;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«Отдел экономики и бюджетного планирования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«1619» заменить цифрами «1617,7»;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099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«1619» заменить цифрами «1617,7».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Председатель сессии                 А. Палагин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районного маслихата                 А. Брагинец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