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1cbd" w14:textId="ec31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25 декабря 2009 года N 22-4-IV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28 октября 2010 года N 31-6-IV. Зарегистрировано Управлением юстиции Бородулихинского района Департамента юстиции Восточно-Казахстанской области 15 ноября 2010 года за N 5-8-119. Прекращено действие по истечении срока, на который решение было принято, на основании письма аппарата маслихата Бородулихинского района Восточно-Казахстанской области от 14 марта 2011 года N 03-08/84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Примечание. Прекращено действие по истечении срока, на который решение было принято, на основании письма аппарата маслихата Бородулихинского района Восточно-Казахстанской области от 14.03.2011 N 03-08/84.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22 октября 2010 года № 24/298- IV «О внесении изменений и дополнения в решение от 21 декабря 2009 года № 17/222- IV «Об областном бюджете на 2010-2012 годы (зарегистрировано в Реестре государственной регистрации нормативных правовых актов за № 2537 от 28 октября 2010 года, опубликовано в газете «Дидар» от 4 ноября 2010 года № 135 (16451), «Рудный Алтай» от 3 ноября 2010 года № 135)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2009 года № 22-4-IV «О районном бюджете на 2010-2012 годы» (зарегистрировано в Реестре государственной регистрации нормативных правовых актов за № 5-8-99 от 29 декабря 2009 года, опубликовано в районной газете «Пульс района» от 1 января 2010 года № 6321)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2384244 тысяч тенге,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441586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1935434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2389283,1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8745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-13784,1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13784,1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 В. Лопатин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   Б. Аргумбаев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октября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31-6-IV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22-4-IV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097"/>
        <w:gridCol w:w="1051"/>
        <w:gridCol w:w="7049"/>
        <w:gridCol w:w="2797"/>
      </w:tblGrid>
      <w:tr>
        <w:trPr>
          <w:trHeight w:val="46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2384244</w:t>
            </w:r>
          </w:p>
        </w:tc>
      </w:tr>
      <w:tr>
        <w:trPr>
          <w:trHeight w:val="24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441586</w:t>
            </w:r>
          </w:p>
        </w:tc>
      </w:tr>
      <w:tr>
        <w:trPr>
          <w:trHeight w:val="24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160855</w:t>
            </w:r>
          </w:p>
        </w:tc>
      </w:tr>
      <w:tr>
        <w:trPr>
          <w:trHeight w:val="24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160855</w:t>
            </w:r>
          </w:p>
        </w:tc>
      </w:tr>
      <w:tr>
        <w:trPr>
          <w:trHeight w:val="24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115020</w:t>
            </w:r>
          </w:p>
        </w:tc>
      </w:tr>
      <w:tr>
        <w:trPr>
          <w:trHeight w:val="24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115020</w:t>
            </w:r>
          </w:p>
        </w:tc>
      </w:tr>
      <w:tr>
        <w:trPr>
          <w:trHeight w:val="24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151359</w:t>
            </w:r>
          </w:p>
        </w:tc>
      </w:tr>
      <w:tr>
        <w:trPr>
          <w:trHeight w:val="24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88380</w:t>
            </w:r>
          </w:p>
        </w:tc>
      </w:tr>
      <w:tr>
        <w:trPr>
          <w:trHeight w:val="24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</w:tr>
      <w:tr>
        <w:trPr>
          <w:trHeight w:val="24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46620</w:t>
            </w:r>
          </w:p>
        </w:tc>
      </w:tr>
      <w:tr>
        <w:trPr>
          <w:trHeight w:val="24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10948</w:t>
            </w:r>
          </w:p>
        </w:tc>
      </w:tr>
      <w:tr>
        <w:trPr>
          <w:trHeight w:val="24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5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45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24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2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3404</w:t>
            </w:r>
          </w:p>
        </w:tc>
      </w:tr>
      <w:tr>
        <w:trPr>
          <w:trHeight w:val="24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</w:p>
        </w:tc>
      </w:tr>
      <w:tr>
        <w:trPr>
          <w:trHeight w:val="24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24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45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</w:p>
        </w:tc>
      </w:tr>
      <w:tr>
        <w:trPr>
          <w:trHeight w:val="24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4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1803</w:t>
            </w:r>
          </w:p>
        </w:tc>
      </w:tr>
      <w:tr>
        <w:trPr>
          <w:trHeight w:val="24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</w:tr>
      <w:tr>
        <w:trPr>
          <w:trHeight w:val="24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24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24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4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1935434</w:t>
            </w:r>
          </w:p>
        </w:tc>
      </w:tr>
      <w:tr>
        <w:trPr>
          <w:trHeight w:val="45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1935434</w:t>
            </w:r>
          </w:p>
        </w:tc>
      </w:tr>
      <w:tr>
        <w:trPr>
          <w:trHeight w:val="24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092"/>
        <w:gridCol w:w="849"/>
        <w:gridCol w:w="1017"/>
        <w:gridCol w:w="6668"/>
        <w:gridCol w:w="2746"/>
      </w:tblGrid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2389283,1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241495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217985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67148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64750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135472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133191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14324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</w:t>
            </w:r>
          </w:p>
        </w:tc>
      </w:tr>
      <w:tr>
        <w:trPr>
          <w:trHeight w:val="9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9186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</w:t>
            </w:r>
          </w:p>
        </w:tc>
      </w:tr>
      <w:tr>
        <w:trPr>
          <w:trHeight w:val="9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7169,6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2241,6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2241,6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2041,6</w:t>
            </w:r>
          </w:p>
        </w:tc>
      </w:tr>
      <w:tr>
        <w:trPr>
          <w:trHeight w:val="10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1313647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30437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30437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30437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1196349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1195646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1174660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20986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86861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85948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</w:t>
            </w:r>
          </w:p>
        </w:tc>
      </w:tr>
      <w:tr>
        <w:trPr>
          <w:trHeight w:val="9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54033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158915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141437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141437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</w:t>
            </w:r>
          </w:p>
        </w:tc>
      </w:tr>
      <w:tr>
        <w:trPr>
          <w:trHeight w:val="12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16158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34604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</w:t>
            </w:r>
          </w:p>
        </w:tc>
      </w:tr>
      <w:tr>
        <w:trPr>
          <w:trHeight w:val="12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</w:p>
        </w:tc>
      </w:tr>
      <w:tr>
        <w:trPr>
          <w:trHeight w:val="19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17478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309239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280916</w:t>
            </w:r>
          </w:p>
        </w:tc>
      </w:tr>
      <w:tr>
        <w:trPr>
          <w:trHeight w:val="7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9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35971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244666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244666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18019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захоронений, и погребение безродных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104571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34044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24112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29826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20257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проведение государственной информационной политики через газеты и журналы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16589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</w:tc>
      </w:tr>
      <w:tr>
        <w:trPr>
          <w:trHeight w:val="9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10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89130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15275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7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7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65268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</w:t>
            </w:r>
          </w:p>
        </w:tc>
      </w:tr>
      <w:tr>
        <w:trPr>
          <w:trHeight w:val="9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27951</w:t>
            </w:r>
          </w:p>
        </w:tc>
      </w:tr>
      <w:tr>
        <w:trPr>
          <w:trHeight w:val="9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27951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15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98212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22397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22397</w:t>
            </w:r>
          </w:p>
        </w:tc>
      </w:tr>
      <w:tr>
        <w:trPr>
          <w:trHeight w:val="7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22397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75815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75815</w:t>
            </w:r>
          </w:p>
        </w:tc>
      </w:tr>
      <w:tr>
        <w:trPr>
          <w:trHeight w:val="10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75815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11763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6527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</w:p>
        </w:tc>
      </w:tr>
      <w:tr>
        <w:trPr>
          <w:trHeight w:val="9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46751,5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46751,5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46751,5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140,5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46611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8745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9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-13784,1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13784,1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    Б. Курманбаев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октября 2010 года № 31-6-IV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2009 года № 22-4-IV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Затраты по коду программы 123.001. «Функционирование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 округа» в разрезе</w:t>
      </w:r>
      <w:r>
        <w:br/>
      </w:r>
      <w:r>
        <w:rPr>
          <w:rFonts w:ascii="Times New Roman"/>
          <w:b/>
          <w:i w:val="false"/>
          <w:color w:val="000000"/>
        </w:rPr>
        <w:t>
аппаратов сельских (поселковых) округов на 2010 год.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0039"/>
        <w:gridCol w:w="2882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133191</w:t>
            </w:r>
          </w:p>
        </w:tc>
      </w:tr>
      <w:tr>
        <w:trPr>
          <w:trHeight w:val="1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с/о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п/о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с/о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2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с/о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10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с/о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с/о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с/о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с/о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с/о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13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с/о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с/о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с/о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</w:p>
        </w:tc>
      </w:tr>
      <w:tr>
        <w:trPr>
          <w:trHeight w:val="7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с/о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</w:tr>
      <w:tr>
        <w:trPr>
          <w:trHeight w:val="28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с/о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    Б. Курманбаев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октября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31-6-IV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22-4-IV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Затраты по коду программы 123.023.</w:t>
      </w:r>
      <w:r>
        <w:br/>
      </w:r>
      <w:r>
        <w:rPr>
          <w:rFonts w:ascii="Times New Roman"/>
          <w:b/>
          <w:i w:val="false"/>
          <w:color w:val="000000"/>
        </w:rPr>
        <w:t>
Материально-техническое оснащение 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
в разрезе аппаратов сельских (поселковых) округов на 2010 год.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9374"/>
        <w:gridCol w:w="2879"/>
      </w:tblGrid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2281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с/о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п/о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с/о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с/о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с/о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с/о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с/о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с/о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с/о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с/о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с/о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с/о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с/о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с/о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    Б. Курманбаев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