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7d2a" w14:textId="5c07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2009 года № 22-4-IV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23 июля 2010 года N 29-6-IV. Зарегистрировано Управлением юстиции Бородулихинского района Департамента юстиции Восточно-Казахстанской области 4 августа 2010 года за N 5-8-117.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 марта 2011 года N 03-08/84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14.03.2011 N 03-08/84.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20 июля 2010 года № 22/276-IV «О внесении изменений и дополнений в решение от 21 декабря 2009 года № 17/222- IV «Об областном бюджете на 2010-2012 годы» (зарегистрировано в Реестре государственной регистрации нормативных правовых актов за № 2534 от 23 июля 2010 года)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2009 года № 22-4-IV «О районном бюджете на 2010-2012 годы» (зарегистрировано в Реестре государственной регистрации нормативных правовых актов за № 5-8-99 от 29 декабря 2009 года, опубликовано в районной газете «Пульс района» от 1 января 2010 года № 6321)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2449458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- 47622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1938631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2454497,1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-13942,1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13942,1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Уменьшить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в сумме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обеспечение жильем участников и инвалидов Великой Отечественной войны в сумме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 Б. Аргумбаев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29-6-IV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22-4-IV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121"/>
        <w:gridCol w:w="1059"/>
        <w:gridCol w:w="6335"/>
        <w:gridCol w:w="3316"/>
      </w:tblGrid>
      <w:tr>
        <w:trPr>
          <w:trHeight w:val="49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2449458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460006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170306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170306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127236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127236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147820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95085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36680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52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5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2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7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47622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47622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1938631</w:t>
            </w:r>
          </w:p>
        </w:tc>
      </w:tr>
      <w:tr>
        <w:trPr>
          <w:trHeight w:val="49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1938631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902"/>
        <w:gridCol w:w="815"/>
        <w:gridCol w:w="1080"/>
        <w:gridCol w:w="6371"/>
        <w:gridCol w:w="3160"/>
      </w:tblGrid>
      <w:tr>
        <w:trPr>
          <w:trHeight w:val="4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2454497,1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240721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217309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67148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64750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134796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132630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9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оценка и реализация имущества, поступившая в коммунальную собственность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9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7169,6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2241,6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2241,6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2041,6</w:t>
            </w:r>
          </w:p>
        </w:tc>
      </w:tr>
      <w:tr>
        <w:trPr>
          <w:trHeight w:val="10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1323112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1195549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1194846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1174408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97126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85808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9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54033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градостроительства и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161191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143559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143559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2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124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9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2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348140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278923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9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градостроительства и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242952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242952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61298</w:t>
            </w:r>
          </w:p>
        </w:tc>
      </w:tr>
      <w:tr>
        <w:trPr>
          <w:trHeight w:val="78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61166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102446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32370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24221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градостроительства и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29519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16336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9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0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88140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14285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7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52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96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9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5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5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градостроительства и 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15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9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98212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7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0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17724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12488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9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140,5</w:t>
            </w:r>
          </w:p>
        </w:tc>
      </w:tr>
      <w:tr>
        <w:trPr>
          <w:trHeight w:val="7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46611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9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73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-13942,1</w:t>
            </w:r>
          </w:p>
        </w:tc>
      </w:tr>
      <w:tr>
        <w:trPr>
          <w:trHeight w:val="46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13942,1</w:t>
            </w:r>
          </w:p>
        </w:tc>
      </w:tr>
      <w:tr>
        <w:trPr>
          <w:trHeight w:val="2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    Б. Курманбаев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июля 2010 года № 29-6-IV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 «Функционирование аппарата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2010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9406"/>
        <w:gridCol w:w="3179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132630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1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1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июля 2010 года № 29-6-IV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123.005. «Организация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учащихся до школы и обратно в аульной</w:t>
      </w:r>
      <w:r>
        <w:br/>
      </w:r>
      <w:r>
        <w:rPr>
          <w:rFonts w:ascii="Times New Roman"/>
          <w:b/>
          <w:i w:val="false"/>
          <w:color w:val="000000"/>
        </w:rPr>
        <w:t>
(сельской) местности» в разрезе аппаратов сельских округов на</w:t>
      </w:r>
      <w:r>
        <w:br/>
      </w:r>
      <w:r>
        <w:rPr>
          <w:rFonts w:ascii="Times New Roman"/>
          <w:b/>
          <w:i w:val="false"/>
          <w:color w:val="000000"/>
        </w:rPr>
        <w:t>
2010 год.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033"/>
        <w:gridCol w:w="30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  Б. Курманбаев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июля 2010 года № 29-6-IV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 «Обеспечение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функционирования автомобильных дорог в городах районного 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поселках, аулах (селах), аульных (сельских) округах»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округов на 2010 год.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704"/>
        <w:gridCol w:w="3697"/>
      </w:tblGrid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22397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Бородулихинского с/о 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отдела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