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367" w14:textId="e58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8 февраля 2010 года № 180 "Об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12 апреля 2010 года N 191. Зарегистрировано Управлением юстиции Тайыншинского района Северо-Казахстанской области 4 мая 2010 года N 13-11-175</w:t>
      </w:r>
    </w:p>
    <w:p>
      <w:pPr>
        <w:spacing w:after="0"/>
        <w:ind w:left="0"/>
        <w:jc w:val="both"/>
      </w:pPr>
      <w:bookmarkStart w:name="z1" w:id="0"/>
      <w:r>
        <w:rPr>
          <w:rFonts w:ascii="Times New Roman"/>
          <w:b w:val="false"/>
          <w:i w:val="false"/>
          <w:color w:val="ff0000"/>
          <w:sz w:val="28"/>
        </w:rPr>
        <w:t>     Сноска. Утратило силу решением маслихата Тайыншинского района Северо-Казахстанской области от 05.11.2012 N 56</w:t>
      </w:r>
      <w:r>
        <w:br/>
      </w: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8 февраля 2010 года № 180 «Об оказании социальной помощи отдельным категориям нуждающихся граждан» (зарегистрировано в Реестре государственной регистрации нормативно- правовых актах за № 13-11-171 от 18 марта 2010 года, опубликованных в газетах «Тайынша таңы» от 9 апреля 2010 года, «Тайыншинские вести» от 9 апреля 2010 года) следующие изменения:</w:t>
      </w:r>
      <w:r>
        <w:br/>
      </w:r>
      <w:r>
        <w:rPr>
          <w:rFonts w:ascii="Times New Roman"/>
          <w:b w:val="false"/>
          <w:i w:val="false"/>
          <w:color w:val="000000"/>
          <w:sz w:val="28"/>
        </w:rPr>
        <w:t>
      подпункт 1) пункта 1 изложить в новой редакции:</w:t>
      </w:r>
      <w:r>
        <w:br/>
      </w:r>
      <w:r>
        <w:rPr>
          <w:rFonts w:ascii="Times New Roman"/>
          <w:b w:val="false"/>
          <w:i w:val="false"/>
          <w:color w:val="000000"/>
          <w:sz w:val="28"/>
        </w:rPr>
        <w:t>
      «1)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3- х степеней, лиц из числа участников ликвидации последствий катастрофы на Чернобыльской АЭС в 1988- 1989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один раз в год в размере стоимости путевки»;</w:t>
      </w:r>
      <w:r>
        <w:br/>
      </w:r>
      <w:r>
        <w:rPr>
          <w:rFonts w:ascii="Times New Roman"/>
          <w:b w:val="false"/>
          <w:i w:val="false"/>
          <w:color w:val="000000"/>
          <w:sz w:val="28"/>
        </w:rPr>
        <w:t>
      в подпункте 2) пункта 1:</w:t>
      </w:r>
      <w:r>
        <w:br/>
      </w:r>
      <w:r>
        <w:rPr>
          <w:rFonts w:ascii="Times New Roman"/>
          <w:b w:val="false"/>
          <w:i w:val="false"/>
          <w:color w:val="000000"/>
          <w:sz w:val="28"/>
        </w:rPr>
        <w:t>
      после слов (кроме драгоценных металлов, металлокерамических протезов) дополнить словами «металлопластики) один раз в год»;</w:t>
      </w:r>
      <w:r>
        <w:br/>
      </w:r>
      <w:r>
        <w:rPr>
          <w:rFonts w:ascii="Times New Roman"/>
          <w:b w:val="false"/>
          <w:i w:val="false"/>
          <w:color w:val="000000"/>
          <w:sz w:val="28"/>
        </w:rPr>
        <w:t>
      подпункт 3) пункта 1 исключить;</w:t>
      </w:r>
      <w:r>
        <w:br/>
      </w:r>
      <w:r>
        <w:rPr>
          <w:rFonts w:ascii="Times New Roman"/>
          <w:b w:val="false"/>
          <w:i w:val="false"/>
          <w:color w:val="000000"/>
          <w:sz w:val="28"/>
        </w:rPr>
        <w:t>
      в подпункте 4) пункта 1:</w:t>
      </w:r>
      <w:r>
        <w:br/>
      </w:r>
      <w:r>
        <w:rPr>
          <w:rFonts w:ascii="Times New Roman"/>
          <w:b w:val="false"/>
          <w:i w:val="false"/>
          <w:color w:val="000000"/>
          <w:sz w:val="28"/>
        </w:rPr>
        <w:t>
      после слов «один раз в год» дополнить словами «в размере стоимости путевки»;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протезов из металлокерамики, металлопластики)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осуществляющие виды банковских операций».</w:t>
      </w:r>
      <w:r>
        <w:br/>
      </w:r>
      <w:r>
        <w:rPr>
          <w:rFonts w:ascii="Times New Roman"/>
          <w:b w:val="false"/>
          <w:i w:val="false"/>
          <w:color w:val="000000"/>
          <w:sz w:val="28"/>
        </w:rPr>
        <w:t>
</w:t>
      </w:r>
      <w:r>
        <w:rPr>
          <w:rFonts w:ascii="Times New Roman"/>
          <w:b w:val="false"/>
          <w:i w:val="false"/>
          <w:color w:val="000000"/>
          <w:sz w:val="28"/>
        </w:rPr>
        <w:t>
      2.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      Секретарь районного маслихата</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«Отдел занятости и социальных</w:t>
            </w:r>
            <w:r>
              <w:br/>
            </w:r>
            <w:r>
              <w:rPr>
                <w:rFonts w:ascii="Times New Roman"/>
                <w:b w:val="false"/>
                <w:i w:val="false"/>
                <w:color w:val="000000"/>
                <w:sz w:val="20"/>
              </w:rPr>
              <w:t>
</w:t>
            </w:r>
            <w:r>
              <w:rPr>
                <w:rFonts w:ascii="Times New Roman"/>
                <w:b w:val="false"/>
                <w:i/>
                <w:color w:val="000000"/>
                <w:sz w:val="20"/>
              </w:rPr>
              <w:t>      программ»</w:t>
            </w:r>
            <w:r>
              <w:br/>
            </w:r>
            <w:r>
              <w:rPr>
                <w:rFonts w:ascii="Times New Roman"/>
                <w:b w:val="false"/>
                <w:i w:val="false"/>
                <w:color w:val="000000"/>
                <w:sz w:val="20"/>
              </w:rPr>
              <w:t>
</w:t>
            </w:r>
            <w:r>
              <w:rPr>
                <w:rFonts w:ascii="Times New Roman"/>
                <w:b w:val="false"/>
                <w:i/>
                <w:color w:val="000000"/>
                <w:sz w:val="20"/>
              </w:rPr>
              <w:t>       12. 04. 2010 г.</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Сарсембаев</w:t>
            </w:r>
            <w:r>
              <w:br/>
            </w:r>
            <w:r>
              <w:rPr>
                <w:rFonts w:ascii="Times New Roman"/>
                <w:b w:val="false"/>
                <w:i w:val="false"/>
                <w:color w:val="000000"/>
                <w:sz w:val="20"/>
              </w:rPr>
              <w:t>
</w:t>
            </w:r>
            <w:r>
              <w:rPr>
                <w:rFonts w:ascii="Times New Roman"/>
                <w:b w:val="false"/>
                <w:i/>
                <w:color w:val="000000"/>
                <w:sz w:val="20"/>
              </w:rPr>
              <w:t>Н. Трифонов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Ю. Солунина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