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543a5" w14:textId="5e543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Магжана Жумабаева Северо-Казахстанской области от 24 декабря 2010 года N 29-1. Зарегистрировано Департаментом юстиции Северо-Казахстанской области 25 января 2011 года N 13-9-128. Утратило силу - решением маслихата района имени Магжана Жумабаева Северо-Казахстанской области от 22 декабря 2011 года N 39-4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района имени Магжана Жумабаева Северо-Казахстанской области от 22.12.2011 N 39-4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№ 148, маслихат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района Магжана Жумабаева на 2011-2013 годы согласно приложениям 1, 2 и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2 862 947,0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323 174,0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4 360,0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19 597,0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2 515 816,0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2 892 472,4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4 801,1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- 5 334,1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533,0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(- 34 326,5)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34 326,5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49 000,0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49 533,0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34 861,5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маслихата района Магжана Жумабаева Северо-Казахстанской области от 28.03.2011 </w:t>
      </w:r>
      <w:r>
        <w:rPr>
          <w:rFonts w:ascii="Times New Roman"/>
          <w:b w:val="false"/>
          <w:i w:val="false"/>
          <w:color w:val="000000"/>
          <w:sz w:val="28"/>
        </w:rPr>
        <w:t>N 30-1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22.06.2011 </w:t>
      </w:r>
      <w:r>
        <w:rPr>
          <w:rFonts w:ascii="Times New Roman"/>
          <w:b w:val="false"/>
          <w:i w:val="false"/>
          <w:color w:val="000000"/>
          <w:sz w:val="28"/>
        </w:rPr>
        <w:t>N 33-1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04.08.2011 </w:t>
      </w:r>
      <w:r>
        <w:rPr>
          <w:rFonts w:ascii="Times New Roman"/>
          <w:b w:val="false"/>
          <w:i w:val="false"/>
          <w:color w:val="000000"/>
          <w:sz w:val="28"/>
        </w:rPr>
        <w:t>N 34-1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07.10.2011 </w:t>
      </w:r>
      <w:r>
        <w:rPr>
          <w:rFonts w:ascii="Times New Roman"/>
          <w:b w:val="false"/>
          <w:i w:val="false"/>
          <w:color w:val="000000"/>
          <w:sz w:val="28"/>
        </w:rPr>
        <w:t>N 37-1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21.11.2011 </w:t>
      </w:r>
      <w:r>
        <w:rPr>
          <w:rFonts w:ascii="Times New Roman"/>
          <w:b w:val="false"/>
          <w:i w:val="false"/>
          <w:color w:val="000000"/>
          <w:sz w:val="28"/>
        </w:rPr>
        <w:t>N 38-1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Обслуживание долга - 2,0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дополнен подпунктом 7) в соответствии с решением маслихата района Магжана Жумабаева Северо-Казахстанской области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21.11.2011 </w:t>
      </w:r>
      <w:r>
        <w:rPr>
          <w:rFonts w:ascii="Times New Roman"/>
          <w:b w:val="false"/>
          <w:i w:val="false"/>
          <w:color w:val="000000"/>
          <w:sz w:val="28"/>
        </w:rPr>
        <w:t>N 38-1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района на 2011 год формируются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физических лиц, осуществляющих деятельность по разовым талонам;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юридических лиц и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сборов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пошлины, кроме государственной пошлины, поступающей в республиканский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прочих налоговых поступлений в местный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района на 2011 год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имущества, находящегося в коммунальной собственности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прочих неналоговых поступлений.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доходы бюджета района на 2011 год включены поступления от продажи основного капитала в сумме 5000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района на 2011 год предусмотрен объем субвенции, передаваемой из областного бюджета в бюджет района в сумме 1961 944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районе на 2011 год предусмотрены поступления трансфертов из республиканского бюджета в сумме 461 388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решения маслихата района Магжана Жумабаева Северо-Казахстанской области от </w:t>
      </w:r>
      <w:r>
        <w:rPr>
          <w:rFonts w:ascii="Times New Roman"/>
          <w:b w:val="false"/>
          <w:i w:val="false"/>
          <w:color w:val="ff0000"/>
          <w:sz w:val="28"/>
        </w:rPr>
        <w:t xml:space="preserve">21.11.2011 </w:t>
      </w:r>
      <w:r>
        <w:rPr>
          <w:rFonts w:ascii="Times New Roman"/>
          <w:b w:val="false"/>
          <w:i w:val="false"/>
          <w:color w:val="000000"/>
          <w:sz w:val="28"/>
        </w:rPr>
        <w:t>N 38-1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бюджете района предусмотрены поступления трансфертов из областного бюджета на 2011 год в сумме 92 434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в редакции решения маслихата района Магжана Жумабаева Северо-Казахстанской области от 21.11.2011 </w:t>
      </w:r>
      <w:r>
        <w:rPr>
          <w:rFonts w:ascii="Times New Roman"/>
          <w:b w:val="false"/>
          <w:i w:val="false"/>
          <w:color w:val="000000"/>
          <w:sz w:val="28"/>
        </w:rPr>
        <w:t>N 38-1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Установить, что в процессе исполнения бюджета района на 2011 год не подлежат секвестру местные бюджетные программы согласно приложению №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на 2011 год в сумме 1500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чрезвычайный резерв местного исполнительного органа района для ликвидации чрезвычайных ситуаций природного и техногенного характера в сумме 1 500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внесенными решением маслихата района Магжана Жумабаева Северо-Казахстанской области от 28.03.2011 </w:t>
      </w:r>
      <w:r>
        <w:rPr>
          <w:rFonts w:ascii="Times New Roman"/>
          <w:b w:val="false"/>
          <w:i w:val="false"/>
          <w:color w:val="000000"/>
          <w:sz w:val="28"/>
        </w:rPr>
        <w:t>N 30-1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Установить в расходах бюджета района на 2011 год выплаты на оказание социальной помощи специалистам здравоохранения, образования, социального обеспечения, культуры, проживающим в сельской местности по 1000 тенге на приобретение топлива.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Сохранить повышение на 25 процентов должностных окладов (тарифных ставок) гражданским служащим сферы социального обеспечения, образования, культуры и спорта, работающим в сельской местности по сравнению с окладами и ставками гражданских служащих, занимающимися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Обеспечить в 2011 году выплату заработной платы работникам бюджетной сферы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Утвердить перечень бюджетных программ развития бюджета района на 2011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лиц, согласно приложению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Предусмотреть перечень целевых текущих трансфертов из республиканского бюджета на 2011 год согласно приложению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Предусмотреть перечень бюджетных программ областных трансфертов района на 2011 год согласно приложению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Утвердить перечень бюджетных программ сельских округов района и города Булаево на 2011 год согласно приложению 8, на 2012 год согласно приложению 9, на 2013 год согласно приложению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Утвердить перечень видов социальной помощи, предусмотренной по программе «Социальная помощь отдельным категориям нуждающихся граждан по решениям местных представительных органов» согласно приложению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Предусмотреть перечень поступлении займов из республиканского бюджета на 2011 год согласно приложению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18 с изменениями, внесенными решением маслихата района Магжана Жумабаева Северо-Казахстанской области от 28.03.2011 </w:t>
      </w:r>
      <w:r>
        <w:rPr>
          <w:rFonts w:ascii="Times New Roman"/>
          <w:b w:val="false"/>
          <w:i w:val="false"/>
          <w:color w:val="000000"/>
          <w:sz w:val="28"/>
        </w:rPr>
        <w:t>N 30-1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18-1. Предусмотреть расходы бюджета района за счет свободных остатков бюджетных средств района, сложившихся на начало финансового года и возврата целевых трансфертов республиканского бюджета, неиспользованных в 2010 году, согласно приложению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18 дополнен пунктом 18-1 в соответствии с решением маслихата района Магжана Жумабаева Северо-Казахстанской области от 28.03.2011 </w:t>
      </w:r>
      <w:r>
        <w:rPr>
          <w:rFonts w:ascii="Times New Roman"/>
          <w:b w:val="false"/>
          <w:i w:val="false"/>
          <w:color w:val="000000"/>
          <w:sz w:val="28"/>
        </w:rPr>
        <w:t>N 30-1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Настоящее решение вступает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А.Сапаров                                  В.Гюнтнер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районного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финансов                       М. Омарова</w:t>
      </w:r>
    </w:p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29-1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района Магжана Жумабаева Северо-Казахстанской области от 21.11.2011 </w:t>
      </w:r>
      <w:r>
        <w:rPr>
          <w:rFonts w:ascii="Times New Roman"/>
          <w:b w:val="false"/>
          <w:i w:val="false"/>
          <w:color w:val="ff0000"/>
          <w:sz w:val="28"/>
        </w:rPr>
        <w:t>N 38-1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44"/>
        <w:gridCol w:w="566"/>
        <w:gridCol w:w="7365"/>
        <w:gridCol w:w="254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2 862 947,0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323 174,0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5 575,0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5 575,0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154 033,0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154 033,0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135 434,0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64 840,0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13 977,0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36 917,0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19 700,0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 работы и услуги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25 585,0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3 040,0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16 120,0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6 296,0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</w:p>
        </w:tc>
      </w:tr>
      <w:tr>
        <w:trPr>
          <w:trHeight w:val="7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2 547,0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2 547,0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4 360,0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915,0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915,0</w:t>
            </w:r>
          </w:p>
        </w:tc>
      </w:tr>
      <w:tr>
        <w:trPr>
          <w:trHeight w:val="6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6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3 435,0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3 435,0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19 597,0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4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16 597,0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16 500,0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2 515 816,0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2 515 816,0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из областного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2 515 816,0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813"/>
        <w:gridCol w:w="793"/>
        <w:gridCol w:w="6993"/>
        <w:gridCol w:w="233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тыс. тенге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2892472,4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264 418,5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14 081,0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12 319,0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1 762,0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50 928,4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49 842,6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1 085,8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180 416,1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179 579,6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836,5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18 993,0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16 967,5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848,1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5 050,4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5 050,4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2 153,0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2 153,0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2 153,0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1 858 307,0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1 858 067,0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7 140,0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1 694 348,0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5 375,0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4 743,0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10 379,0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96 006,0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9 893,0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9 586,0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7 493,0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13 104,0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146 974,5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146 974,5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19 633,2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22 027,3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9 363,0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21 955,6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30 762,4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27 372,0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4 789,2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1 071,8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8 096,0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128 706,8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27 410,5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15 164,5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6 958,0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101 182,5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жилищного фонда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7 000,8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23 090,0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12 123,2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50 448,5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8 520,0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113,8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108 000,4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50 397,3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50 397,3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33 965,8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6 303,8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14 008,0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12 154,0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18 515,7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6 304,7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12 211,0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5 121,6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1 499,0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3 622,6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309 840,6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18 075,0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13 316,0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4 159,0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8 537,0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8 454,0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11 930,0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11 930,0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269 446,0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269 446,0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1 852,6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1 852,6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5 382,0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5 382,0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о реализации государственной политики на местном уровне в области строительства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5 273,7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108,3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18 542,2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10 542,2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10 542,2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20 725,0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5 794,0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5 756,0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7 172,0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7 172,0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6 259,0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6 062,0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24 372,0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24 372,0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24 003,0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4 801,1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5 334,1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5 334,1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5 334,1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5 334,1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-34 326,5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34 326,5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49 000,0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49 000,0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49 000,0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49 000,0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49 533,0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49 533,0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49 533,0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49 533,0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34 861,5</w:t>
            </w:r>
          </w:p>
        </w:tc>
      </w:tr>
    </w:tbl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29-1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503"/>
        <w:gridCol w:w="503"/>
        <w:gridCol w:w="7778"/>
        <w:gridCol w:w="267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2 529 919,0</w:t>
            </w:r>
          </w:p>
        </w:tc>
      </w:tr>
      <w:tr>
        <w:trPr>
          <w:trHeight w:val="2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345 459,0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5 910,0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5 910,0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166 062,0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166 062,0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148 886,0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79 990,0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15 145,0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33 751,0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 работы и услуги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22 022,0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2 851,0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13 900,0</w:t>
            </w:r>
          </w:p>
        </w:tc>
      </w:tr>
      <w:tr>
        <w:trPr>
          <w:trHeight w:val="2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5 271,0</w:t>
            </w:r>
          </w:p>
        </w:tc>
      </w:tr>
      <w:tr>
        <w:trPr>
          <w:trHeight w:val="7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2 579,0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2 579,0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1 272,0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702,0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2 183 188,0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2 183 188,0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из областного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2 183 188,0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713"/>
        <w:gridCol w:w="733"/>
        <w:gridCol w:w="7293"/>
        <w:gridCol w:w="279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4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2529919,0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266 929,0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13 353,0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13 353,0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50 185,0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50 185,0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183 300,0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183 300,0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20 091,0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1 440,0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1 973 527,0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1 973 527,0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7 977,0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1 870 242,0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9 412,0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2 945,0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73 172,0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9 779,0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114 367,0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114 367,0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11 636,0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12 113,0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7 015,0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воспитывающихся и обучающихся на дому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29 086,0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28 084,0</w:t>
            </w:r>
          </w:p>
        </w:tc>
      </w:tr>
      <w:tr>
        <w:trPr>
          <w:trHeight w:val="9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5 989,0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9 660,0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96 723,0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44 496,0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44 496,0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32 615,0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7 015,0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16 612,0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5 121,0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11 491,0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22 858,0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13 656,0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9 202,0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9 202,0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5 272,0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5 272,0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о реализации государственной политики на местном уровне в области строительства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5 272,0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14 900,0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7 100,0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7 100,0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11 363,0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5 593,0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5 593,0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5 770,0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5 770,0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7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4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19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-533,0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4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полученные местными исполнительными органами района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7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4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29-1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548"/>
        <w:gridCol w:w="570"/>
        <w:gridCol w:w="7499"/>
        <w:gridCol w:w="283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2 557 616,0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366 024,0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6 265,0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6 265,0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176 313,0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176 313,0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157 823,0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84 792,0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16 055,0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35 776,0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21 200,0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 работы и услуги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22 887,0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3 023,0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14 200,0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5 664,0</w:t>
            </w:r>
          </w:p>
        </w:tc>
      </w:tr>
      <w:tr>
        <w:trPr>
          <w:trHeight w:val="7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2 736,0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2 736,0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1 338,0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2 190 254,0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2 190 254,0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из областного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2 190 254,0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713"/>
        <w:gridCol w:w="793"/>
        <w:gridCol w:w="7113"/>
        <w:gridCol w:w="285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4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2557616,0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268 900,0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13 486,0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13 486,0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50 686,0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50 686,0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185 133,0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185 133,0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19 595,0</w:t>
            </w:r>
          </w:p>
        </w:tc>
      </w:tr>
      <w:tr>
        <w:trPr>
          <w:trHeight w:val="10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1 455,0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1 996 388,0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1 996 388,0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8 057,0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1 892 070,0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2 974,0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73 904,0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9 877,0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115 510,0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115 510,0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11 752,0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12 234,0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7 085,0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29 377,0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28 365,0</w:t>
            </w:r>
          </w:p>
        </w:tc>
      </w:tr>
      <w:tr>
        <w:trPr>
          <w:trHeight w:val="10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6 048,0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9 750,0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97 673,0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44 940,0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44 940,0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32 941,0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7 085,0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12 908,0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12 413,0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16 772,0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5 172,0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2 020,0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23 087,0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13 793,0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13 793,0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9 294,0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9 294,0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5 325,0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5 325,0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о реализации государственной политики на местном уровне в области строительства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5 325,0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7 170,0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7 170,0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11 478,0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5 828,0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5 828,0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7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4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4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Финансирование дефицита (использование профицита) бюджета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-533,0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4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полученные местными исполнительными органами района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7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4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29-1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бюджета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73"/>
        <w:gridCol w:w="773"/>
        <w:gridCol w:w="7633"/>
        <w:gridCol w:w="2073"/>
      </w:tblGrid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4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29-1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района на 2011 год</w:t>
      </w:r>
      <w:r>
        <w:br/>
      </w:r>
      <w:r>
        <w:rPr>
          <w:rFonts w:ascii="Times New Roman"/>
          <w:b/>
          <w:i w:val="false"/>
          <w:color w:val="000000"/>
        </w:rPr>
        <w:t>
с разделением на бюджетные программы, направленные на</w:t>
      </w:r>
      <w:r>
        <w:br/>
      </w:r>
      <w:r>
        <w:rPr>
          <w:rFonts w:ascii="Times New Roman"/>
          <w:b/>
          <w:i w:val="false"/>
          <w:color w:val="000000"/>
        </w:rPr>
        <w:t>
реализацию бюджетных инвестиционных проектов (программ) и</w:t>
      </w:r>
      <w:r>
        <w:br/>
      </w:r>
      <w:r>
        <w:rPr>
          <w:rFonts w:ascii="Times New Roman"/>
          <w:b/>
          <w:i w:val="false"/>
          <w:color w:val="000000"/>
        </w:rPr>
        <w:t>
формирование или увеличение уставного капитала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маслихата района Магжана Жумабаева Северо-Казахстанской области от 21.11.2011 </w:t>
      </w:r>
      <w:r>
        <w:rPr>
          <w:rFonts w:ascii="Times New Roman"/>
          <w:b w:val="false"/>
          <w:i w:val="false"/>
          <w:color w:val="ff0000"/>
          <w:sz w:val="28"/>
        </w:rPr>
        <w:t>N 38-1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33"/>
        <w:gridCol w:w="853"/>
        <w:gridCol w:w="7353"/>
        <w:gridCol w:w="1953"/>
      </w:tblGrid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375 962,6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101 182,5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101 182,5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государственного коммунального жилищного фонда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23 090,0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12 123,2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50 448,5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8 520,0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274 780,1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269 446,0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269 446,0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5334,1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5334,1</w:t>
            </w:r>
          </w:p>
        </w:tc>
      </w:tr>
    </w:tbl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29-1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</w:t>
      </w:r>
      <w:r>
        <w:br/>
      </w:r>
      <w:r>
        <w:rPr>
          <w:rFonts w:ascii="Times New Roman"/>
          <w:b/>
          <w:i w:val="false"/>
          <w:color w:val="000000"/>
        </w:rPr>
        <w:t>
из республиканского бюджета района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решения маслихата района Магжана Жумабаева Северо-Казахстанской области от 21.11.2011 </w:t>
      </w:r>
      <w:r>
        <w:rPr>
          <w:rFonts w:ascii="Times New Roman"/>
          <w:b w:val="false"/>
          <w:i w:val="false"/>
          <w:color w:val="ff0000"/>
          <w:sz w:val="28"/>
        </w:rPr>
        <w:t>N 38-1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73"/>
        <w:gridCol w:w="773"/>
        <w:gridCol w:w="7293"/>
        <w:gridCol w:w="2033"/>
      </w:tblGrid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160 111,0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125 326,0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125 326,0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82 224,0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12 919,0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9 586,0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7 493,0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13 104,0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11 524,0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11 524,0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2 145,0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1 283,0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8 096,0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Сельское,водное,лесное,рыбное хозяйство, особо охраняемые территории, охрана окружающей среды и животного мира, 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16 089,0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16 089,0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11 930,0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4 159,0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7 172,0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7 172,0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7 172,0</w:t>
            </w:r>
          </w:p>
        </w:tc>
      </w:tr>
    </w:tbl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29-1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областных трансфертов района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в редакции решения маслихата района Магжана Жумабаева Северо-Казахстанской области от 04.08.2011 </w:t>
      </w:r>
      <w:r>
        <w:rPr>
          <w:rFonts w:ascii="Times New Roman"/>
          <w:b w:val="false"/>
          <w:i w:val="false"/>
          <w:color w:val="ff0000"/>
          <w:sz w:val="28"/>
        </w:rPr>
        <w:t>N 34-1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33"/>
        <w:gridCol w:w="673"/>
        <w:gridCol w:w="7573"/>
        <w:gridCol w:w="1853"/>
      </w:tblGrid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60 263,0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</w:tr>
      <w:tr>
        <w:trPr>
          <w:trHeight w:val="9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42 520,0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42 520,0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11 701,0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26 766,0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16 516,0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16 516,0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16 451,0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</w:p>
        </w:tc>
      </w:tr>
    </w:tbl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29-1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района Магжана Жумабаева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8 в редакции решения маслихата района Магжана Жумабаева Северо-Казахстанской области от 21.11.2011 </w:t>
      </w:r>
      <w:r>
        <w:rPr>
          <w:rFonts w:ascii="Times New Roman"/>
          <w:b w:val="false"/>
          <w:i w:val="false"/>
          <w:color w:val="ff0000"/>
          <w:sz w:val="28"/>
        </w:rPr>
        <w:t>N 38-1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713"/>
        <w:gridCol w:w="713"/>
        <w:gridCol w:w="7833"/>
        <w:gridCol w:w="175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266463,9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180416,1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180416,1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179579,6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836,5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аульной (сельской) местности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27410,5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27410,5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15164,5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538,0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6958,0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50397,3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50397,3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50397,3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аульных(сельских) округах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1293"/>
        <w:gridCol w:w="1313"/>
        <w:gridCol w:w="1533"/>
        <w:gridCol w:w="1313"/>
        <w:gridCol w:w="1273"/>
        <w:gridCol w:w="1313"/>
        <w:gridCol w:w="1333"/>
        <w:gridCol w:w="1293"/>
      </w:tblGrid>
      <w:tr>
        <w:trPr>
          <w:trHeight w:val="21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1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шенский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Гаврин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гугин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7009,6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7455,2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24255,9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8407,8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7477,3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7432,1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8584,7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5815,9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6705,8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9302,3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7763,2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5874,7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6845,6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7738,7</w:t>
            </w:r>
          </w:p>
        </w:tc>
      </w:tr>
      <w:tr>
        <w:trPr>
          <w:trHeight w:val="40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5815,9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6705,8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9302,3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7763,2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5874,7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6845,6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7738,7</w:t>
            </w:r>
          </w:p>
        </w:tc>
      </w:tr>
      <w:tr>
        <w:trPr>
          <w:trHeight w:val="6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5815,9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6705,8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9254,5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7753,2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5874,7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6797,6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7738,7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6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42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1193,7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13273,6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1602,6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586,5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606,0</w:t>
            </w:r>
          </w:p>
        </w:tc>
      </w:tr>
      <w:tr>
        <w:trPr>
          <w:trHeight w:val="40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1193,7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13273,6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1602,6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586,5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606,0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1193,7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13273,6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1602,6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586,5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606,0</w:t>
            </w:r>
          </w:p>
        </w:tc>
      </w:tr>
      <w:tr>
        <w:trPr>
          <w:trHeight w:val="18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1393"/>
        <w:gridCol w:w="1513"/>
        <w:gridCol w:w="1293"/>
        <w:gridCol w:w="1553"/>
        <w:gridCol w:w="1513"/>
        <w:gridCol w:w="1333"/>
        <w:gridCol w:w="1653"/>
      </w:tblGrid>
      <w:tr>
        <w:trPr>
          <w:trHeight w:val="21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27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7488,4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8462,3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11742,8</w:t>
            </w:r>
          </w:p>
        </w:tc>
      </w:tr>
      <w:tr>
        <w:trPr>
          <w:trHeight w:val="22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6666,7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7592,5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7078,8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7578,2</w:t>
            </w:r>
          </w:p>
        </w:tc>
      </w:tr>
      <w:tr>
        <w:trPr>
          <w:trHeight w:val="40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6666,7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7592,5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7078,8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7578,2</w:t>
            </w:r>
          </w:p>
        </w:tc>
      </w:tr>
      <w:tr>
        <w:trPr>
          <w:trHeight w:val="61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6529,7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7592,5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6644,0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7071,1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7401,2</w:t>
            </w:r>
          </w:p>
        </w:tc>
      </w:tr>
      <w:tr>
        <w:trPr>
          <w:trHeight w:val="22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</w:p>
        </w:tc>
      </w:tr>
      <w:tr>
        <w:trPr>
          <w:trHeight w:val="22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1146,4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5985,5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1383,5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4164,6</w:t>
            </w:r>
          </w:p>
        </w:tc>
      </w:tr>
      <w:tr>
        <w:trPr>
          <w:trHeight w:val="40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1146,4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5985,5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1383,5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4164,6</w:t>
            </w:r>
          </w:p>
        </w:tc>
      </w:tr>
      <w:tr>
        <w:trPr>
          <w:trHeight w:val="22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1146,4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5985,5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1383,5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4164,6</w:t>
            </w:r>
          </w:p>
        </w:tc>
      </w:tr>
      <w:tr>
        <w:trPr>
          <w:trHeight w:val="18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1393"/>
        <w:gridCol w:w="1373"/>
        <w:gridCol w:w="1293"/>
        <w:gridCol w:w="1413"/>
        <w:gridCol w:w="1613"/>
        <w:gridCol w:w="1293"/>
        <w:gridCol w:w="1693"/>
      </w:tblGrid>
      <w:tr>
        <w:trPr>
          <w:trHeight w:val="21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г.о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8836,1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7273,3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8289,3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9408,9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10244,1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6445,1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46103,0</w:t>
            </w:r>
          </w:p>
        </w:tc>
      </w:tr>
      <w:tr>
        <w:trPr>
          <w:trHeight w:val="22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7782,1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5807,3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7328,3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7610,5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6149,4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5677,3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12769,8</w:t>
            </w:r>
          </w:p>
        </w:tc>
      </w:tr>
      <w:tr>
        <w:trPr>
          <w:trHeight w:val="40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7782,1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5807,3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7328,3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7610,5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6149,4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5677,3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12769,8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7782,1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5807,3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7328,3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7610,5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6149,4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5677,3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12495,8</w:t>
            </w:r>
          </w:p>
        </w:tc>
      </w:tr>
      <w:tr>
        <w:trPr>
          <w:trHeight w:val="22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</w:tr>
      <w:tr>
        <w:trPr>
          <w:trHeight w:val="22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23698,5</w:t>
            </w:r>
          </w:p>
        </w:tc>
      </w:tr>
      <w:tr>
        <w:trPr>
          <w:trHeight w:val="40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23698,5</w:t>
            </w:r>
          </w:p>
        </w:tc>
      </w:tr>
      <w:tr>
        <w:trPr>
          <w:trHeight w:val="2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13544,5</w:t>
            </w:r>
          </w:p>
        </w:tc>
      </w:tr>
      <w:tr>
        <w:trPr>
          <w:trHeight w:val="21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4350,0</w:t>
            </w:r>
          </w:p>
        </w:tc>
      </w:tr>
      <w:tr>
        <w:trPr>
          <w:trHeight w:val="22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538,0</w:t>
            </w:r>
          </w:p>
        </w:tc>
      </w:tr>
      <w:tr>
        <w:trPr>
          <w:trHeight w:val="19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5266,0</w:t>
            </w:r>
          </w:p>
        </w:tc>
      </w:tr>
      <w:tr>
        <w:trPr>
          <w:trHeight w:val="19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1798,4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4094,7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767,8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1634,7</w:t>
            </w:r>
          </w:p>
        </w:tc>
      </w:tr>
      <w:tr>
        <w:trPr>
          <w:trHeight w:val="40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1798,4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4094,7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767,8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1634,7</w:t>
            </w:r>
          </w:p>
        </w:tc>
      </w:tr>
      <w:tr>
        <w:trPr>
          <w:trHeight w:val="22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1798,4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4094,7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767,8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1634,7</w:t>
            </w:r>
          </w:p>
        </w:tc>
      </w:tr>
      <w:tr>
        <w:trPr>
          <w:trHeight w:val="18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9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6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</w:tbl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29-1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
района Магжана Жумабаева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93"/>
        <w:gridCol w:w="753"/>
        <w:gridCol w:w="8213"/>
        <w:gridCol w:w="1893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8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251506,0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  услуги  общего  характера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183300,0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183300,0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 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183300,0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16610,0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16610,0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9660,0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  безродных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44496,0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44496,0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44496,0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453"/>
        <w:gridCol w:w="1673"/>
        <w:gridCol w:w="1693"/>
        <w:gridCol w:w="1273"/>
        <w:gridCol w:w="1393"/>
        <w:gridCol w:w="1513"/>
        <w:gridCol w:w="1913"/>
      </w:tblGrid>
      <w:tr>
        <w:trPr>
          <w:trHeight w:val="18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8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Бастомар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Гаврин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Карагугин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18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15326,0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7209,0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8807,0</w:t>
            </w:r>
          </w:p>
        </w:tc>
      </w:tr>
      <w:tr>
        <w:trPr>
          <w:trHeight w:val="2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6517,0</w:t>
            </w:r>
          </w:p>
        </w:tc>
      </w:tr>
      <w:tr>
        <w:trPr>
          <w:trHeight w:val="40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6517,0</w:t>
            </w:r>
          </w:p>
        </w:tc>
      </w:tr>
      <w:tr>
        <w:trPr>
          <w:trHeight w:val="40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6517,0</w:t>
            </w:r>
          </w:p>
        </w:tc>
      </w:tr>
      <w:tr>
        <w:trPr>
          <w:trHeight w:val="19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2290,0</w:t>
            </w:r>
          </w:p>
        </w:tc>
      </w:tr>
      <w:tr>
        <w:trPr>
          <w:trHeight w:val="40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2290,0</w:t>
            </w:r>
          </w:p>
        </w:tc>
      </w:tr>
      <w:tr>
        <w:trPr>
          <w:trHeight w:val="19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2290,0</w:t>
            </w:r>
          </w:p>
        </w:tc>
      </w:tr>
      <w:tr>
        <w:trPr>
          <w:trHeight w:val="10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53"/>
        <w:gridCol w:w="1653"/>
        <w:gridCol w:w="1513"/>
        <w:gridCol w:w="1253"/>
        <w:gridCol w:w="1293"/>
        <w:gridCol w:w="1633"/>
        <w:gridCol w:w="1653"/>
      </w:tblGrid>
      <w:tr>
        <w:trPr>
          <w:trHeight w:val="18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Конюхов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18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13666,0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9038,0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8617,0</w:t>
            </w:r>
          </w:p>
        </w:tc>
      </w:tr>
      <w:tr>
        <w:trPr>
          <w:trHeight w:val="22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7260,0</w:t>
            </w:r>
          </w:p>
        </w:tc>
      </w:tr>
      <w:tr>
        <w:trPr>
          <w:trHeight w:val="40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7260,0</w:t>
            </w:r>
          </w:p>
        </w:tc>
      </w:tr>
      <w:tr>
        <w:trPr>
          <w:trHeight w:val="40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7260,0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1357,0</w:t>
            </w:r>
          </w:p>
        </w:tc>
      </w:tr>
      <w:tr>
        <w:trPr>
          <w:trHeight w:val="40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1357,0</w:t>
            </w:r>
          </w:p>
        </w:tc>
      </w:tr>
      <w:tr>
        <w:trPr>
          <w:trHeight w:val="19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1357,0</w:t>
            </w:r>
          </w:p>
        </w:tc>
      </w:tr>
      <w:tr>
        <w:trPr>
          <w:trHeight w:val="21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1293"/>
        <w:gridCol w:w="1273"/>
        <w:gridCol w:w="1453"/>
        <w:gridCol w:w="1273"/>
        <w:gridCol w:w="1253"/>
        <w:gridCol w:w="1493"/>
        <w:gridCol w:w="1293"/>
        <w:gridCol w:w="1453"/>
      </w:tblGrid>
      <w:tr>
        <w:trPr>
          <w:trHeight w:val="18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г.о</w:t>
            </w:r>
          </w:p>
        </w:tc>
      </w:tr>
      <w:tr>
        <w:trPr>
          <w:trHeight w:val="18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12368,0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38085,0</w:t>
            </w:r>
          </w:p>
        </w:tc>
      </w:tr>
      <w:tr>
        <w:trPr>
          <w:trHeight w:val="22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12705,0</w:t>
            </w:r>
          </w:p>
        </w:tc>
      </w:tr>
      <w:tr>
        <w:trPr>
          <w:trHeight w:val="40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12705,0</w:t>
            </w:r>
          </w:p>
        </w:tc>
      </w:tr>
      <w:tr>
        <w:trPr>
          <w:trHeight w:val="40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12705,0</w:t>
            </w:r>
          </w:p>
        </w:tc>
      </w:tr>
      <w:tr>
        <w:trPr>
          <w:trHeight w:val="19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16610,0</w:t>
            </w:r>
          </w:p>
        </w:tc>
      </w:tr>
      <w:tr>
        <w:trPr>
          <w:trHeight w:val="39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16610,0</w:t>
            </w:r>
          </w:p>
        </w:tc>
      </w:tr>
      <w:tr>
        <w:trPr>
          <w:trHeight w:val="21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9660,0</w:t>
            </w:r>
          </w:p>
        </w:tc>
      </w:tr>
      <w:tr>
        <w:trPr>
          <w:trHeight w:val="18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</w:p>
        </w:tc>
      </w:tr>
      <w:tr>
        <w:trPr>
          <w:trHeight w:val="28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2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22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1670,0</w:t>
            </w:r>
          </w:p>
        </w:tc>
      </w:tr>
      <w:tr>
        <w:trPr>
          <w:trHeight w:val="40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1670,0</w:t>
            </w:r>
          </w:p>
        </w:tc>
      </w:tr>
      <w:tr>
        <w:trPr>
          <w:trHeight w:val="19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1670,0</w:t>
            </w:r>
          </w:p>
        </w:tc>
      </w:tr>
      <w:tr>
        <w:trPr>
          <w:trHeight w:val="21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7100,0</w:t>
            </w:r>
          </w:p>
        </w:tc>
      </w:tr>
      <w:tr>
        <w:trPr>
          <w:trHeight w:val="40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7100,0</w:t>
            </w:r>
          </w:p>
        </w:tc>
      </w:tr>
      <w:tr>
        <w:trPr>
          <w:trHeight w:val="37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7100,0</w:t>
            </w:r>
          </w:p>
        </w:tc>
      </w:tr>
    </w:tbl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29-1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
района Магжана Жумабаева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13"/>
        <w:gridCol w:w="713"/>
        <w:gridCol w:w="8153"/>
        <w:gridCol w:w="179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2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255847,0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185133,0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185133,0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185133,0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 техническое оснащение государственных органов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17894,0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17894,0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44940,0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7880,0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453"/>
        <w:gridCol w:w="1313"/>
        <w:gridCol w:w="1453"/>
        <w:gridCol w:w="1253"/>
        <w:gridCol w:w="1693"/>
        <w:gridCol w:w="1593"/>
        <w:gridCol w:w="1953"/>
      </w:tblGrid>
      <w:tr>
        <w:trPr>
          <w:trHeight w:val="22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Гаврин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ивский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Карагугин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2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16568,0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8892,0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6581,0</w:t>
            </w:r>
          </w:p>
        </w:tc>
      </w:tr>
      <w:tr>
        <w:trPr>
          <w:trHeight w:val="40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6581,0</w:t>
            </w:r>
          </w:p>
        </w:tc>
      </w:tr>
      <w:tr>
        <w:trPr>
          <w:trHeight w:val="4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6581,0</w:t>
            </w:r>
          </w:p>
        </w:tc>
      </w:tr>
      <w:tr>
        <w:trPr>
          <w:trHeight w:val="25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2311,0</w:t>
            </w:r>
          </w:p>
        </w:tc>
      </w:tr>
      <w:tr>
        <w:trPr>
          <w:trHeight w:val="5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2311,0</w:t>
            </w:r>
          </w:p>
        </w:tc>
      </w:tr>
      <w:tr>
        <w:trPr>
          <w:trHeight w:val="25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2311,0</w:t>
            </w:r>
          </w:p>
        </w:tc>
      </w:tr>
      <w:tr>
        <w:trPr>
          <w:trHeight w:val="27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1453"/>
        <w:gridCol w:w="1293"/>
        <w:gridCol w:w="1473"/>
        <w:gridCol w:w="1293"/>
        <w:gridCol w:w="1753"/>
        <w:gridCol w:w="1753"/>
        <w:gridCol w:w="1473"/>
      </w:tblGrid>
      <w:tr>
        <w:trPr>
          <w:trHeight w:val="22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Конюхов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22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9127,0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8696,0</w:t>
            </w:r>
          </w:p>
        </w:tc>
      </w:tr>
      <w:tr>
        <w:trPr>
          <w:trHeight w:val="28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7329,0</w:t>
            </w:r>
          </w:p>
        </w:tc>
      </w:tr>
      <w:tr>
        <w:trPr>
          <w:trHeight w:val="40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7329,0</w:t>
            </w:r>
          </w:p>
        </w:tc>
      </w:tr>
      <w:tr>
        <w:trPr>
          <w:trHeight w:val="43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7329,0</w:t>
            </w:r>
          </w:p>
        </w:tc>
      </w:tr>
      <w:tr>
        <w:trPr>
          <w:trHeight w:val="13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1367,0</w:t>
            </w:r>
          </w:p>
        </w:tc>
      </w:tr>
      <w:tr>
        <w:trPr>
          <w:trHeight w:val="54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1367,0</w:t>
            </w:r>
          </w:p>
        </w:tc>
      </w:tr>
      <w:tr>
        <w:trPr>
          <w:trHeight w:val="2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1367,0</w:t>
            </w:r>
          </w:p>
        </w:tc>
      </w:tr>
      <w:tr>
        <w:trPr>
          <w:trHeight w:val="27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1253"/>
        <w:gridCol w:w="1253"/>
        <w:gridCol w:w="1293"/>
        <w:gridCol w:w="1253"/>
        <w:gridCol w:w="1253"/>
        <w:gridCol w:w="1473"/>
        <w:gridCol w:w="1313"/>
        <w:gridCol w:w="1573"/>
      </w:tblGrid>
      <w:tr>
        <w:trPr>
          <w:trHeight w:val="22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овский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овский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г.о</w:t>
            </w:r>
          </w:p>
        </w:tc>
      </w:tr>
      <w:tr>
        <w:trPr>
          <w:trHeight w:val="22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12486,0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9893,0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39288,0</w:t>
            </w:r>
          </w:p>
        </w:tc>
      </w:tr>
      <w:tr>
        <w:trPr>
          <w:trHeight w:val="34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12940,0</w:t>
            </w:r>
          </w:p>
        </w:tc>
      </w:tr>
      <w:tr>
        <w:trPr>
          <w:trHeight w:val="3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12940,0</w:t>
            </w:r>
          </w:p>
        </w:tc>
      </w:tr>
      <w:tr>
        <w:trPr>
          <w:trHeight w:val="43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12940,0</w:t>
            </w:r>
          </w:p>
        </w:tc>
      </w:tr>
      <w:tr>
        <w:trPr>
          <w:trHeight w:val="25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16800,0</w:t>
            </w:r>
          </w:p>
        </w:tc>
      </w:tr>
      <w:tr>
        <w:trPr>
          <w:trHeight w:val="43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16800,0</w:t>
            </w:r>
          </w:p>
        </w:tc>
      </w:tr>
      <w:tr>
        <w:trPr>
          <w:trHeight w:val="27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9750,0</w:t>
            </w:r>
          </w:p>
        </w:tc>
      </w:tr>
      <w:tr>
        <w:trPr>
          <w:trHeight w:val="24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3180,0</w:t>
            </w:r>
          </w:p>
        </w:tc>
      </w:tr>
      <w:tr>
        <w:trPr>
          <w:trHeight w:val="25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28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3360,0</w:t>
            </w:r>
          </w:p>
        </w:tc>
      </w:tr>
      <w:tr>
        <w:trPr>
          <w:trHeight w:val="28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1668,0</w:t>
            </w:r>
          </w:p>
        </w:tc>
      </w:tr>
      <w:tr>
        <w:trPr>
          <w:trHeight w:val="54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1668,0</w:t>
            </w:r>
          </w:p>
        </w:tc>
      </w:tr>
      <w:tr>
        <w:trPr>
          <w:trHeight w:val="25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1668,0</w:t>
            </w:r>
          </w:p>
        </w:tc>
      </w:tr>
      <w:tr>
        <w:trPr>
          <w:trHeight w:val="27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7880,0</w:t>
            </w:r>
          </w:p>
        </w:tc>
      </w:tr>
      <w:tr>
        <w:trPr>
          <w:trHeight w:val="42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7880,0</w:t>
            </w:r>
          </w:p>
        </w:tc>
      </w:tr>
      <w:tr>
        <w:trPr>
          <w:trHeight w:val="43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7880,0</w:t>
            </w:r>
          </w:p>
        </w:tc>
      </w:tr>
    </w:tbl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29-1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социальной помощи, предусмотренных по программе</w:t>
      </w:r>
      <w:r>
        <w:br/>
      </w:r>
      <w:r>
        <w:rPr>
          <w:rFonts w:ascii="Times New Roman"/>
          <w:b/>
          <w:i w:val="false"/>
          <w:color w:val="000000"/>
        </w:rPr>
        <w:t>
«Социальная помощь отдельным категориям нуждающихся граждан</w:t>
      </w:r>
      <w:r>
        <w:br/>
      </w:r>
      <w:r>
        <w:rPr>
          <w:rFonts w:ascii="Times New Roman"/>
          <w:b/>
          <w:i w:val="false"/>
          <w:color w:val="000000"/>
        </w:rPr>
        <w:t>
по решениям местных представительных органов»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Компенсации за услуги бань и парикмахерских 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Санаторно-курортное лечение 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Зубопротезирование 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Обеспечение дополнительного питания граждан, больных туберкулезом;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Оказание единовременной социальной выплаты гражданам, пострадавшим от пожара;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Единовременное пособие врачам и среднему медицинскому персоналу, прибывшим на постоянное место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Выплата коммунальных услуг 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Выплата пособий на рождение четвертого и более ребенка.</w:t>
      </w:r>
    </w:p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29-1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поступлений займов</w:t>
      </w:r>
      <w:r>
        <w:br/>
      </w:r>
      <w:r>
        <w:rPr>
          <w:rFonts w:ascii="Times New Roman"/>
          <w:b/>
          <w:i w:val="false"/>
          <w:color w:val="000000"/>
        </w:rPr>
        <w:t>
из республиканского бюджета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12 в редакции решения маслихата района Магжана Жумабаева Северо-Казахстанской области от 21.11.2011 </w:t>
      </w:r>
      <w:r>
        <w:rPr>
          <w:rFonts w:ascii="Times New Roman"/>
          <w:b w:val="false"/>
          <w:i w:val="false"/>
          <w:color w:val="ff0000"/>
          <w:sz w:val="28"/>
        </w:rPr>
        <w:t>N 38-1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73"/>
        <w:gridCol w:w="753"/>
        <w:gridCol w:w="7373"/>
        <w:gridCol w:w="1933"/>
      </w:tblGrid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49 000,0</w:t>
            </w:r>
          </w:p>
        </w:tc>
      </w:tr>
    </w:tbl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29-1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Свободные остатки бюджетных средств района, сложившихся на начало финансового года и возврата целевых трансфертов бюджета, неиспользованных в 2010 году целевых трансфертов республиканского бюджета, неиспользованных в 2010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Сноска. Приложение 13 в редакции решения маслихата района Магжана Жумабаева Северо-Казахстанской области от 28.03.2011 </w:t>
      </w:r>
      <w:r>
        <w:rPr>
          <w:rFonts w:ascii="Times New Roman"/>
          <w:b w:val="false"/>
          <w:i w:val="false"/>
          <w:color w:val="ff0000"/>
          <w:sz w:val="28"/>
        </w:rPr>
        <w:t>N 30-1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73"/>
        <w:gridCol w:w="593"/>
        <w:gridCol w:w="6693"/>
        <w:gridCol w:w="2393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34861,5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34861,5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34861,5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34 861,5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1 564,4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577,4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Сельское,водное,лесное,рыбное хозяйство, особо охраняемые территории, охрана окружающей среды и животного мира, 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5 934,1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5 934,1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5 334,1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24003,0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24003,0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