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49d0" w14:textId="c424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граждан Жамбылского района на 2010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Жамбылского района Северо-Казахстанской области от 31 марта 2010 года N 23/2. Зарегистрировано Управлением юстиции Жамбылского района Северо-Казахстанской области 16 апреля 2010 года N 13-7-124. Утратило силу (письмо маслихата Жамбылского района Северо-Казахстанской области от 3 апреля 2013 года N 03-31/43)</w:t>
      </w:r>
    </w:p>
    <w:p>
      <w:pPr>
        <w:spacing w:after="0"/>
        <w:ind w:left="0"/>
        <w:jc w:val="both"/>
      </w:pPr>
      <w:bookmarkStart w:name="z1" w:id="0"/>
      <w:r>
        <w:rPr>
          <w:rFonts w:ascii="Times New Roman"/>
          <w:b w:val="false"/>
          <w:i w:val="false"/>
          <w:color w:val="ff0000"/>
          <w:sz w:val="28"/>
        </w:rPr>
        <w:t>
      Сноска. Утратило силу (письмо маслихата Жамбылского района Северо-Казахстанской области от 03.04.2013 N 03-31/43)</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 95-IV,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 148 «О местном государственном управлении и самоуправлении в Республике Казахстан», в целях реализации </w:t>
      </w:r>
      <w:r>
        <w:rPr>
          <w:rFonts w:ascii="Times New Roman"/>
          <w:b w:val="false"/>
          <w:i w:val="false"/>
          <w:color w:val="000000"/>
          <w:sz w:val="28"/>
        </w:rPr>
        <w:t>решения</w:t>
      </w:r>
      <w:r>
        <w:rPr>
          <w:rFonts w:ascii="Times New Roman"/>
          <w:b w:val="false"/>
          <w:i w:val="false"/>
          <w:color w:val="000000"/>
          <w:sz w:val="28"/>
        </w:rPr>
        <w:t xml:space="preserve"> сессии районного маслихата от 25 декабря 2009 года № 21/1 «О районном бюджете на 2010-2012 годы», сессия районного маслихата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 Жамбылского района:</w:t>
      </w:r>
      <w:r>
        <w:br/>
      </w:r>
      <w:r>
        <w:rPr>
          <w:rFonts w:ascii="Times New Roman"/>
          <w:b w:val="false"/>
          <w:i w:val="false"/>
          <w:color w:val="000000"/>
          <w:sz w:val="28"/>
        </w:rPr>
        <w:t>
      1) участникам и инвалидам Великой Отечественной войны на посещение бань и парикмахерских в сумме 500 тенге ежемесячно;</w:t>
      </w:r>
      <w:r>
        <w:br/>
      </w:r>
      <w:r>
        <w:rPr>
          <w:rFonts w:ascii="Times New Roman"/>
          <w:b w:val="false"/>
          <w:i w:val="false"/>
          <w:color w:val="000000"/>
          <w:sz w:val="28"/>
        </w:rPr>
        <w:t>
      2) участникам и инвалидам Великой Отечественной войны, а также лицам приравненным к ним на зубопротезирование, в размере стоимости представленной счет-фактуры (кроме драгоценных металлов, протезов из металлопластики, металлокерамики, металлоакрила) один раз в год;</w:t>
      </w:r>
      <w:r>
        <w:br/>
      </w:r>
      <w:r>
        <w:rPr>
          <w:rFonts w:ascii="Times New Roman"/>
          <w:b w:val="false"/>
          <w:i w:val="false"/>
          <w:color w:val="000000"/>
          <w:sz w:val="28"/>
        </w:rPr>
        <w:t>
      3) участникам и инвалидам Великой Отечественной войны, лицам, приравненным по льготам и гарантиям к участникам и инвалидам Великой Отечественной войны, другим категориям лиц приравненные по льготам и гарантиям к участникам войны; вдовам воинов, погибших в годы Великой Отечественной войны, не вступившим в повторный брак; Героям Советского Союза; Кавалерам орденов Славы трех степеней, Трудовой Славы трех степеней; лицам, удостоенным званий Героя Социалистического Труда и "Халык Қаһарманы"; лицам, награжденным орденами и медалями бывшего Советского Союза за самоотверженный труд и безупречную воинскую службу в тылу в годы Великой Отечественной войны; многодетным матерям, награжденным подвеской "Алтын алка", "Кумыс алка" или получившим ранее звание "Мать-героиня", а также награжденных орденами «Материнская Слава» первой и второй степени; лицам которым назначены пенсии за особые заслуги перед Республикой Казахстан; лицам, пострадавшим от политических репрессий, являющимся пенсионерами; инвалидам; лицам из числа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на санаторно-курортное лечение один раз в год в размере стоимости путевки.</w:t>
      </w:r>
      <w:r>
        <w:br/>
      </w:r>
      <w:r>
        <w:rPr>
          <w:rFonts w:ascii="Times New Roman"/>
          <w:b w:val="false"/>
          <w:i w:val="false"/>
          <w:color w:val="000000"/>
          <w:sz w:val="28"/>
        </w:rPr>
        <w:t>
</w:t>
      </w:r>
      <w:r>
        <w:rPr>
          <w:rFonts w:ascii="Times New Roman"/>
          <w:b w:val="false"/>
          <w:i w:val="false"/>
          <w:color w:val="000000"/>
          <w:sz w:val="28"/>
        </w:rPr>
        <w:t>
      2. Определить что:</w:t>
      </w:r>
      <w:r>
        <w:br/>
      </w:r>
      <w:r>
        <w:rPr>
          <w:rFonts w:ascii="Times New Roman"/>
          <w:b w:val="false"/>
          <w:i w:val="false"/>
          <w:color w:val="000000"/>
          <w:sz w:val="28"/>
        </w:rPr>
        <w:t>
      1) ежемесячная социальная помощь для посещения бань и парикмахерских участникам и инвалидам Великой Отечественной войны назначается с месяца подачи заявления и прекращается в связи со смертью заявителя или его выбытия за пределы района. Выплата прекращается с месяца следующего за месяцем, в котором наступили указанные события;</w:t>
      </w:r>
      <w:r>
        <w:br/>
      </w:r>
      <w:r>
        <w:rPr>
          <w:rFonts w:ascii="Times New Roman"/>
          <w:b w:val="false"/>
          <w:i w:val="false"/>
          <w:color w:val="000000"/>
          <w:sz w:val="28"/>
        </w:rPr>
        <w:t>
      2) социальная помощь на зубопротезирование, осуществляется медицинской организацией, имеющей лицензию на зубопротезирование, назначается участникам и инвалидам Великой Отечественной войны, а также лицам, приравненным к ним, в размере стоимости зубопротезирования (кроме драгоценных металлов, протезов из металлопластики, металлокерамики, металлоакрила) в пределах средств, предусмотренных бюджетом района;</w:t>
      </w:r>
      <w:r>
        <w:br/>
      </w:r>
      <w:r>
        <w:rPr>
          <w:rFonts w:ascii="Times New Roman"/>
          <w:b w:val="false"/>
          <w:i w:val="false"/>
          <w:color w:val="000000"/>
          <w:sz w:val="28"/>
        </w:rPr>
        <w:t>
      3) социальные выплаты из местного бюджета осуществляются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w:t>
      </w:r>
      <w:r>
        <w:br/>
      </w:r>
      <w:r>
        <w:rPr>
          <w:rFonts w:ascii="Times New Roman"/>
          <w:b w:val="false"/>
          <w:i w:val="false"/>
          <w:color w:val="000000"/>
          <w:sz w:val="28"/>
        </w:rPr>
        <w:t>
      4) финансирование социальной помощи производить за счет средств местного бюджета, предусмотренных на эти цели в финансовом году по коду функциональной классификации расходов 451.007.000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3. Данное решение распространяется на правоотношения, возникшие с 1 января 2010 года.</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истечении десяти календарных дней со дня его первого официального опубликования в средствах массовой информации.</w:t>
      </w:r>
    </w:p>
    <w:bookmarkEnd w:id="1"/>
    <w:p>
      <w:pPr>
        <w:spacing w:after="0"/>
        <w:ind w:left="0"/>
        <w:jc w:val="both"/>
      </w:pPr>
      <w:r>
        <w:rPr>
          <w:rFonts w:ascii="Times New Roman"/>
          <w:b w:val="false"/>
          <w:i/>
          <w:color w:val="000000"/>
          <w:sz w:val="28"/>
        </w:rPr>
        <w:t>      Председатель внеочередной                  И.о.секретаря</w:t>
      </w:r>
      <w:r>
        <w:br/>
      </w:r>
      <w:r>
        <w:rPr>
          <w:rFonts w:ascii="Times New Roman"/>
          <w:b w:val="false"/>
          <w:i w:val="false"/>
          <w:color w:val="000000"/>
          <w:sz w:val="28"/>
        </w:rPr>
        <w:t>
</w:t>
      </w:r>
      <w:r>
        <w:rPr>
          <w:rFonts w:ascii="Times New Roman"/>
          <w:b w:val="false"/>
          <w:i/>
          <w:color w:val="000000"/>
          <w:sz w:val="28"/>
        </w:rPr>
        <w:t>      ХXIII сессии районного маслихата           районного маслихата</w:t>
      </w:r>
      <w:r>
        <w:br/>
      </w:r>
      <w:r>
        <w:rPr>
          <w:rFonts w:ascii="Times New Roman"/>
          <w:b w:val="false"/>
          <w:i w:val="false"/>
          <w:color w:val="000000"/>
          <w:sz w:val="28"/>
        </w:rPr>
        <w:t>
</w:t>
      </w:r>
      <w:r>
        <w:rPr>
          <w:rFonts w:ascii="Times New Roman"/>
          <w:b w:val="false"/>
          <w:i/>
          <w:color w:val="000000"/>
          <w:sz w:val="28"/>
        </w:rPr>
        <w:t>      Л. Шатохина                                Н. Лазарева</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отдела занятости</w:t>
      </w:r>
      <w:r>
        <w:br/>
      </w:r>
      <w:r>
        <w:rPr>
          <w:rFonts w:ascii="Times New Roman"/>
          <w:b w:val="false"/>
          <w:i w:val="false"/>
          <w:color w:val="000000"/>
          <w:sz w:val="28"/>
        </w:rPr>
        <w:t>
</w:t>
      </w:r>
      <w:r>
        <w:rPr>
          <w:rFonts w:ascii="Times New Roman"/>
          <w:b w:val="false"/>
          <w:i/>
          <w:color w:val="000000"/>
          <w:sz w:val="28"/>
        </w:rPr>
        <w:t>      и социальных программ                      А. Дюсембин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