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49c5" w14:textId="0db4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района Габита Мусрепова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Габита Мусрепова Северо-Казахстанской области от 31 марта 2010 года N 17-4. Зарегистрировано Управлением юстиции района Габита Мусрепова Северо-Казахстанской области 27 апреля 2010 года N 13-5-109. Утратило силу - решением маслихата района Габита Мусрепова Северо-Казахстанской области от 20 декабря 2010 года N 22-8</w:t>
      </w:r>
    </w:p>
    <w:p>
      <w:pPr>
        <w:spacing w:after="0"/>
        <w:ind w:left="0"/>
        <w:jc w:val="both"/>
      </w:pPr>
      <w:bookmarkStart w:name="z1" w:id="0"/>
      <w:r>
        <w:rPr>
          <w:rFonts w:ascii="Times New Roman"/>
          <w:b w:val="false"/>
          <w:i w:val="false"/>
          <w:color w:val="ff0000"/>
          <w:sz w:val="28"/>
        </w:rPr>
        <w:t>
      Сноска. Утратило силу - решением маслихата района Габита Мусрепова Северо-Казахстанской области от 20.12.2010 N 22-8</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пункта 1 статьи 56 Бюджетного кодекса Республики Казахстан от 4 декабря 2008 года № 95,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района имени Габита Мусрепова:</w:t>
      </w:r>
      <w:r>
        <w:br/>
      </w:r>
      <w:r>
        <w:rPr>
          <w:rFonts w:ascii="Times New Roman"/>
          <w:b w:val="false"/>
          <w:i w:val="false"/>
          <w:color w:val="000000"/>
          <w:sz w:val="28"/>
        </w:rPr>
        <w:t>
      1) участникам и инвалидам Великой Отечественной войны на посещение бань и парикмахерских в размере 400 тенге ежемесячно;</w:t>
      </w:r>
      <w:r>
        <w:br/>
      </w:r>
      <w:r>
        <w:rPr>
          <w:rFonts w:ascii="Times New Roman"/>
          <w:b w:val="false"/>
          <w:i w:val="false"/>
          <w:color w:val="000000"/>
          <w:sz w:val="28"/>
        </w:rPr>
        <w:t>
      2)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на зубопротезирование в размере предоставленной счет-фактуры (кроме драгоценных металлов, протезов из металлокерамики, металлопластики) один раз в год;</w:t>
      </w:r>
      <w:r>
        <w:br/>
      </w:r>
      <w:r>
        <w:rPr>
          <w:rFonts w:ascii="Times New Roman"/>
          <w:b w:val="false"/>
          <w:i w:val="false"/>
          <w:color w:val="000000"/>
          <w:sz w:val="28"/>
        </w:rPr>
        <w:t>
      3) участникам и инвалидам Великой Отечественной войны, лицам, приравненных по льготам и гарантиям к участникам и инвалидам ВОВ, другим категориям лиц, приравненных по льготам и гарантиям к участникам войны, многодетным матерям, награжденными подвесками «Алтын алка», «Кумыс алка» или получившими ранее звание «Мать-героиня», а также награжденными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на санаторно-курортное лечение один раз в год в размере стоимости путевки;</w:t>
      </w:r>
      <w:r>
        <w:br/>
      </w:r>
      <w:r>
        <w:rPr>
          <w:rFonts w:ascii="Times New Roman"/>
          <w:b w:val="false"/>
          <w:i w:val="false"/>
          <w:color w:val="000000"/>
          <w:sz w:val="28"/>
        </w:rPr>
        <w:t>
      4)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награжденными орденами и медалями бывшего Союза ССР за самоотверженный труд и безупречную воинскую службу в тылу в годы Великой Отечественной войны; инвалидам первой, второй и третьей групп;  многодетным матерям, награжденными подвесками «Алтын алка», «Кумыс алка» или получившими ранее звание "Мать-героиня", а также награжденными орденами "Материнская слава" I и II степени; Героям Советского Союза, Героям Социалистического Труда, кавалерам орденов Славы трех степеней, Трудовой Славы трех степеней, на экскурсионные поездки один раз в год в размере стоимости путевки.</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осуществляется медицинской организацией, имеющей лицензию на зубопротезирование, в размере стоимости зубопротезирования (кроме драгоценных металлов, протезов из металлокерамики, металлопластики)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бюджете района по программе 451-007-000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w:t>
      </w:r>
    </w:p>
    <w:bookmarkEnd w:id="1"/>
    <w:p>
      <w:pPr>
        <w:spacing w:after="0"/>
        <w:ind w:left="0"/>
        <w:jc w:val="both"/>
      </w:pPr>
      <w:r>
        <w:rPr>
          <w:rFonts w:ascii="Times New Roman"/>
          <w:b w:val="false"/>
          <w:i/>
          <w:color w:val="000000"/>
          <w:sz w:val="28"/>
        </w:rPr>
        <w:t>      Председатель ХVII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И. Гроот                                   Б. Искакова</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 занятости</w:t>
      </w:r>
      <w:r>
        <w:br/>
      </w:r>
      <w:r>
        <w:rPr>
          <w:rFonts w:ascii="Times New Roman"/>
          <w:b w:val="false"/>
          <w:i w:val="false"/>
          <w:color w:val="000000"/>
          <w:sz w:val="28"/>
        </w:rPr>
        <w:t>
</w:t>
      </w:r>
      <w:r>
        <w:rPr>
          <w:rFonts w:ascii="Times New Roman"/>
          <w:b w:val="false"/>
          <w:i/>
          <w:color w:val="000000"/>
          <w:sz w:val="28"/>
        </w:rPr>
        <w:t>      и социальных программ                      Н. Баракаев</w:t>
      </w:r>
    </w:p>
    <w:p>
      <w:pPr>
        <w:spacing w:after="0"/>
        <w:ind w:left="0"/>
        <w:jc w:val="both"/>
      </w:pPr>
      <w:r>
        <w:rPr>
          <w:rFonts w:ascii="Times New Roman"/>
          <w:b w:val="false"/>
          <w:i/>
          <w:color w:val="000000"/>
          <w:sz w:val="28"/>
        </w:rPr>
        <w:t xml:space="preserve">      9 апреля 2010 года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