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9012" w14:textId="f719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налоговым ставкам на земли и схемы ценового зонирования земель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IV созыва от 24 сентября 2010 года N 356. Зарегистрировано в Департаменте юстиции города Алматы 28 октября 2010 года за N 861.  Утратило силу решением маслихата города Алматы от 23 июля 2015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357 ( 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налоговым ставкам на земли и схемы ценового зонирования земель для целей налогообложения в городе Алматы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XXX-й сессии маслихата города Алматы III-го созыва от 5 июня 2007 года № 350 «Об утверждении поправочных коэффициентов к налоговым ставкам на земли и схемы ценового зонирования земель для целей налогообложения» (зарегистрировано в Реестре государственной регистрации нормативных правовых актов за № 749, опубликовано 4 августа 2007 года в газете «Алматы Ақшамы» № 96 и 4 августа 2007 года в газете «Вечерний Алматы» № 195;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XII-й сессии маслихата города Алматы IV-го созыва от 20 августа 2008 года № 138 «О внесении изменения в решение XXX-й сессии маслихата города Алматы III-го созыва от 5 июня 2007 года № 350 «Об утверждении поправочных коэффициентов к налоговым ставкам на земли и схемы ценового зонирования земель для целей налогообложения» (зарегистрировано в Реестре государственной регистрации нормативных правовых актов за № 793, опубликовано 25 сентября 2008 года в газете «Алматы Ақшамы» № 109 и опубликовано 20 ноября 2008 года в газете «Вечерний Алматы» №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градостроительства, благоустройства и коммунальной собственности маслихата города Алматы (Нам О.Ю.) и заместителя акима города Алматы (Долженков В.А.).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IV–го созыва              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IV–го созыва                             Т. Мукашев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24.09.2010 года № 356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налоговым ставкам на земли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5093"/>
        <w:gridCol w:w="281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Налогооблагаемая зона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24.09.2010 года № 356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ценового зонирования земель города Алматы</w:t>
      </w:r>
      <w:r>
        <w:br/>
      </w:r>
      <w:r>
        <w:rPr>
          <w:rFonts w:ascii="Times New Roman"/>
          <w:b/>
          <w:i w:val="false"/>
          <w:color w:val="000000"/>
        </w:rPr>
        <w:t>
для целей налогообложения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409400" cy="348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0" cy="348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