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4431" w14:textId="66b4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городского маслихата от 31 марта 2009 года N 114/15 "Об утверждении Правил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по городу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17 февраля 2010 года N 193/24. Зарегистрировано Управлением юстиции города Аксу Павлодарской области 17 марта 2010 года N 12-2-130. Утратило силу решением маслихата города Аксу Павлодарской области от 22 октября 2013 года N 165/21</w:t>
      </w:r>
    </w:p>
    <w:p>
      <w:pPr>
        <w:spacing w:after="0"/>
        <w:ind w:left="0"/>
        <w:jc w:val="both"/>
      </w:pPr>
      <w:r>
        <w:rPr>
          <w:rFonts w:ascii="Times New Roman"/>
          <w:b w:val="false"/>
          <w:i w:val="false"/>
          <w:color w:val="ff0000"/>
          <w:sz w:val="28"/>
        </w:rPr>
        <w:t>      Сноска. Утратило силу решением маслихата города Аксу Павлодарской области от 22.10.2013 N 165/21.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протестом прокурора города Аксу N 7-02 от 10 февраля 2010 года,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31 марта 2009 года N 114/15 "Об утверждении Правил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по городу Аксу" (зарегистрированное в Реестре государственной регистрации нормативных правовых актов за N 12-2-111, опубликованное 13 мая 2009 года в газете "Акжол"-"Новый путь") следующие изменения:</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по городу Аксу, утвержденные данным решением изложить в новой редакции.</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выполнением данного решения возложить на постоянную комиссию по вопросам социальной политики, законности и правопорядка городского маслихата.</w:t>
      </w:r>
    </w:p>
    <w:bookmarkEnd w:id="0"/>
    <w:p>
      <w:pPr>
        <w:spacing w:after="0"/>
        <w:ind w:left="0"/>
        <w:jc w:val="both"/>
      </w:pPr>
      <w:r>
        <w:rPr>
          <w:rFonts w:ascii="Times New Roman"/>
          <w:b w:val="false"/>
          <w:i/>
          <w:color w:val="000000"/>
          <w:sz w:val="28"/>
        </w:rPr>
        <w:t>      Председатель сессии                        А. Амангалиев</w:t>
      </w:r>
    </w:p>
    <w:p>
      <w:pPr>
        <w:spacing w:after="0"/>
        <w:ind w:left="0"/>
        <w:jc w:val="both"/>
      </w:pPr>
      <w:r>
        <w:rPr>
          <w:rFonts w:ascii="Times New Roman"/>
          <w:b w:val="false"/>
          <w:i/>
          <w:color w:val="000000"/>
          <w:sz w:val="28"/>
        </w:rPr>
        <w:t>      Секретарь городского маслихата             М. Омаргалиев</w:t>
      </w:r>
    </w:p>
    <w:bookmarkStart w:name="z5" w:id="1"/>
    <w:p>
      <w:pPr>
        <w:spacing w:after="0"/>
        <w:ind w:left="0"/>
        <w:jc w:val="both"/>
      </w:pPr>
      <w:r>
        <w:rPr>
          <w:rFonts w:ascii="Times New Roman"/>
          <w:b w:val="false"/>
          <w:i w:val="false"/>
          <w:color w:val="000000"/>
          <w:sz w:val="28"/>
        </w:rPr>
        <w:t xml:space="preserve">
Утверждены решением Аксуского городского   </w:t>
      </w:r>
      <w:r>
        <w:br/>
      </w:r>
      <w:r>
        <w:rPr>
          <w:rFonts w:ascii="Times New Roman"/>
          <w:b w:val="false"/>
          <w:i w:val="false"/>
          <w:color w:val="000000"/>
          <w:sz w:val="28"/>
        </w:rPr>
        <w:t>
маслихата (XXIV внеочередная сессия IV созыв)</w:t>
      </w:r>
      <w:r>
        <w:br/>
      </w:r>
      <w:r>
        <w:rPr>
          <w:rFonts w:ascii="Times New Roman"/>
          <w:b w:val="false"/>
          <w:i w:val="false"/>
          <w:color w:val="000000"/>
          <w:sz w:val="28"/>
        </w:rPr>
        <w:t xml:space="preserve">
от 17 февраля 2010 года N 193/24      </w:t>
      </w:r>
    </w:p>
    <w:bookmarkEnd w:id="1"/>
    <w:bookmarkStart w:name="z6" w:id="2"/>
    <w:p>
      <w:pPr>
        <w:spacing w:after="0"/>
        <w:ind w:left="0"/>
        <w:jc w:val="left"/>
      </w:pPr>
      <w:r>
        <w:rPr>
          <w:rFonts w:ascii="Times New Roman"/>
          <w:b/>
          <w:i w:val="false"/>
          <w:color w:val="000000"/>
        </w:rPr>
        <w:t xml:space="preserve"> 
Правила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по городу Аксу</w:t>
      </w:r>
    </w:p>
    <w:bookmarkEnd w:id="2"/>
    <w:bookmarkStart w:name="z7" w:id="3"/>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постановлениями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порядок назначения жилищной помощи малообеспеченным семьям (гражданам).</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доля предельно 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уполномоченный орган – исполнительный орган города Аксу,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бюджета малообеспеченным семьям (гражданам), постоянно проживающим в городе Аксу,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вышеназванных направлений.</w:t>
      </w:r>
      <w:r>
        <w:br/>
      </w:r>
      <w:r>
        <w:rPr>
          <w:rFonts w:ascii="Times New Roman"/>
          <w:b w:val="false"/>
          <w:i w:val="false"/>
          <w:color w:val="000000"/>
          <w:sz w:val="28"/>
        </w:rPr>
        <w:t>
      Жилищная помощь определяется как разница между суммой оплаты собственником, нанимателем (поднанимателем) жилища капитального ремонта и (или) взносов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 допустимым уровнем расходов семьи на эти цели, установленным настоящими Правилами.</w:t>
      </w:r>
      <w:r>
        <w:br/>
      </w:r>
      <w:r>
        <w:rPr>
          <w:rFonts w:ascii="Times New Roman"/>
          <w:b w:val="false"/>
          <w:i w:val="false"/>
          <w:color w:val="000000"/>
          <w:sz w:val="28"/>
        </w:rPr>
        <w:t>
      Сумма оплаты капитального ремонта и (или) взносов на накопление средств на капитальный ремонт общего имущества объекта кондоминиума рассчитывается путем деления общей суммы произведенного капитального ремонта  на общую площадь жилого дома и умноженную на общую площадь квартиры с учетом нормы жилья (при расчете замены или ремонта лифта рассчитывается по общему количеству, проживающих в подъезде и жилище).</w:t>
      </w:r>
      <w:r>
        <w:br/>
      </w:r>
      <w:r>
        <w:rPr>
          <w:rFonts w:ascii="Times New Roman"/>
          <w:b w:val="false"/>
          <w:i w:val="false"/>
          <w:color w:val="000000"/>
          <w:sz w:val="28"/>
        </w:rPr>
        <w:t>
</w:t>
      </w:r>
      <w:r>
        <w:rPr>
          <w:rFonts w:ascii="Times New Roman"/>
          <w:b w:val="false"/>
          <w:i w:val="false"/>
          <w:color w:val="000000"/>
          <w:sz w:val="28"/>
        </w:rPr>
        <w:t>
      3.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3.1 Устанавливаются следующие доли предельно допустимых расходов семьи:</w:t>
      </w:r>
      <w:r>
        <w:br/>
      </w:r>
      <w:r>
        <w:rPr>
          <w:rFonts w:ascii="Times New Roman"/>
          <w:b w:val="false"/>
          <w:i w:val="false"/>
          <w:color w:val="000000"/>
          <w:sz w:val="28"/>
        </w:rPr>
        <w:t>
      на оплату капитального ремонта и (или) взносов на накопление средств на капитальный ремонт общего имущества объекта кондоминиума в размере 10 (десяти) процентов к совокупному доходу семьи;</w:t>
      </w:r>
      <w:r>
        <w:br/>
      </w:r>
      <w:r>
        <w:rPr>
          <w:rFonts w:ascii="Times New Roman"/>
          <w:b w:val="false"/>
          <w:i w:val="false"/>
          <w:color w:val="000000"/>
          <w:sz w:val="28"/>
        </w:rPr>
        <w:t>
      на оплату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размере 7 (семи) процентов к совокупному доходу семьи.</w:t>
      </w:r>
      <w:r>
        <w:br/>
      </w:r>
      <w:r>
        <w:rPr>
          <w:rFonts w:ascii="Times New Roman"/>
          <w:b w:val="false"/>
          <w:i w:val="false"/>
          <w:color w:val="000000"/>
          <w:sz w:val="28"/>
        </w:rPr>
        <w:t>
      Оплата капитального ремонта и (или) взносов на накопление средств на капитальный ремонт общего имущества объекта кондоминиума,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социальной нормы стандарта (СНС) производится заявителем на общих основаниях.</w:t>
      </w:r>
      <w:r>
        <w:br/>
      </w:r>
      <w:r>
        <w:rPr>
          <w:rFonts w:ascii="Times New Roman"/>
          <w:b w:val="false"/>
          <w:i w:val="false"/>
          <w:color w:val="000000"/>
          <w:sz w:val="28"/>
        </w:rPr>
        <w:t>
</w:t>
      </w:r>
      <w:r>
        <w:rPr>
          <w:rFonts w:ascii="Times New Roman"/>
          <w:b w:val="false"/>
          <w:i w:val="false"/>
          <w:color w:val="000000"/>
          <w:sz w:val="28"/>
        </w:rPr>
        <w:t>
      3.2 При назначении жилищной помощи состав семьи собственника или нанимателя (поднанимателя) жилища, в соответствии с требованиями настоящих Правил, определяется по данным книги регистрации граждан за период, на который назначается жилищная помощь.</w:t>
      </w:r>
      <w:r>
        <w:br/>
      </w:r>
      <w:r>
        <w:rPr>
          <w:rFonts w:ascii="Times New Roman"/>
          <w:b w:val="false"/>
          <w:i w:val="false"/>
          <w:color w:val="000000"/>
          <w:sz w:val="28"/>
        </w:rPr>
        <w:t>
      В состав семьи не включаются отсутствующие длительный срок (более трех месяцев) лица, за которыми в соответствии с действующим законодательством сохраняется право на жилище.</w:t>
      </w:r>
      <w:r>
        <w:br/>
      </w:r>
      <w:r>
        <w:rPr>
          <w:rFonts w:ascii="Times New Roman"/>
          <w:b w:val="false"/>
          <w:i w:val="false"/>
          <w:color w:val="000000"/>
          <w:sz w:val="28"/>
        </w:rPr>
        <w:t>
      В случае смерти собственника или одного из собственников жилья, жилищная помощь назначается в течение 6 (шести) месяцев со дня смерти собственника жилья членам его семьи, постоянно проживавшим в жилище, в пределах нормы площади жилья и нормативов потребления коммунальных услуг, до вступления их в права на наследство.</w:t>
      </w:r>
      <w:r>
        <w:br/>
      </w:r>
      <w:r>
        <w:rPr>
          <w:rFonts w:ascii="Times New Roman"/>
          <w:b w:val="false"/>
          <w:i w:val="false"/>
          <w:color w:val="000000"/>
          <w:sz w:val="28"/>
        </w:rPr>
        <w:t>
</w:t>
      </w:r>
      <w:r>
        <w:rPr>
          <w:rFonts w:ascii="Times New Roman"/>
          <w:b w:val="false"/>
          <w:i w:val="false"/>
          <w:color w:val="000000"/>
          <w:sz w:val="28"/>
        </w:rPr>
        <w:t>
      3.3 Нормативная площадь принимается следующая:</w:t>
      </w:r>
      <w:r>
        <w:br/>
      </w:r>
      <w:r>
        <w:rPr>
          <w:rFonts w:ascii="Times New Roman"/>
          <w:b w:val="false"/>
          <w:i w:val="false"/>
          <w:color w:val="000000"/>
          <w:sz w:val="28"/>
        </w:rPr>
        <w:t>
      по оплате капитального ремонта и (или) взносов на накопление средств на капитальный ремонт общего имущества объекта кондоминиума:</w:t>
      </w:r>
      <w:r>
        <w:br/>
      </w:r>
      <w:r>
        <w:rPr>
          <w:rFonts w:ascii="Times New Roman"/>
          <w:b w:val="false"/>
          <w:i w:val="false"/>
          <w:color w:val="000000"/>
          <w:sz w:val="28"/>
        </w:rPr>
        <w:t>
      для одиноко проживающих граждан – 33 квадратных метра (от общей площади жилья), но не менее однокомнатной квартиры;</w:t>
      </w:r>
      <w:r>
        <w:br/>
      </w:r>
      <w:r>
        <w:rPr>
          <w:rFonts w:ascii="Times New Roman"/>
          <w:b w:val="false"/>
          <w:i w:val="false"/>
          <w:color w:val="000000"/>
          <w:sz w:val="28"/>
        </w:rPr>
        <w:t>
      для семьи из двух человек – 50 квадратных метров, но не более общей площади жилья;</w:t>
      </w:r>
      <w:r>
        <w:br/>
      </w:r>
      <w:r>
        <w:rPr>
          <w:rFonts w:ascii="Times New Roman"/>
          <w:b w:val="false"/>
          <w:i w:val="false"/>
          <w:color w:val="000000"/>
          <w:sz w:val="28"/>
        </w:rPr>
        <w:t>
      для семьи из трех человек - 64 квадратных метра, но не более общей площади жилья;</w:t>
      </w:r>
      <w:r>
        <w:br/>
      </w:r>
      <w:r>
        <w:rPr>
          <w:rFonts w:ascii="Times New Roman"/>
          <w:b w:val="false"/>
          <w:i w:val="false"/>
          <w:color w:val="000000"/>
          <w:sz w:val="28"/>
        </w:rPr>
        <w:t>
      для семьи из четырех и более человек – 18 квадратных метров на каждого члена семьи, но не более общей площади жилья;</w:t>
      </w:r>
      <w:r>
        <w:br/>
      </w:r>
      <w:r>
        <w:rPr>
          <w:rFonts w:ascii="Times New Roman"/>
          <w:b w:val="false"/>
          <w:i w:val="false"/>
          <w:color w:val="000000"/>
          <w:sz w:val="28"/>
        </w:rPr>
        <w:t>
      для престарелых граждан, достигших 80 (восьмидесяти) летнего возраста, пенсионеров, получающих минимальный размер пенсии, инвалидов 1, 2 групп, неработающих инвалидов 3 группы, в том числе инвалидов детства, имеющих в составе семьи двух и более человек – 33 квадратных метра на каждого члена семьи, но не более общей площади жилья;</w:t>
      </w:r>
      <w:r>
        <w:br/>
      </w:r>
      <w:r>
        <w:rPr>
          <w:rFonts w:ascii="Times New Roman"/>
          <w:b w:val="false"/>
          <w:i w:val="false"/>
          <w:color w:val="000000"/>
          <w:sz w:val="28"/>
        </w:rPr>
        <w:t>
      по оплате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для одиноко проживающих граждан – 33 квадратных метра (от общей площади жилища), но не менее однокомнатной квартиры;</w:t>
      </w:r>
      <w:r>
        <w:br/>
      </w:r>
      <w:r>
        <w:rPr>
          <w:rFonts w:ascii="Times New Roman"/>
          <w:b w:val="false"/>
          <w:i w:val="false"/>
          <w:color w:val="000000"/>
          <w:sz w:val="28"/>
        </w:rPr>
        <w:t>
      для семьи из двух человек – 40 квадратных метров, но не более  общей площади жилища);</w:t>
      </w:r>
      <w:r>
        <w:br/>
      </w:r>
      <w:r>
        <w:rPr>
          <w:rFonts w:ascii="Times New Roman"/>
          <w:b w:val="false"/>
          <w:i w:val="false"/>
          <w:color w:val="000000"/>
          <w:sz w:val="28"/>
        </w:rPr>
        <w:t>
      для семьи из трех и более человек - 18 квадратных метров на каждого члена семьи, но не более общей площади жилища;</w:t>
      </w:r>
      <w:r>
        <w:br/>
      </w:r>
      <w:r>
        <w:rPr>
          <w:rFonts w:ascii="Times New Roman"/>
          <w:b w:val="false"/>
          <w:i w:val="false"/>
          <w:color w:val="000000"/>
          <w:sz w:val="28"/>
        </w:rPr>
        <w:t>
      для престарелых граждан, достигших 80 (восьмидесяти) летнего возраста, пенсионеров, получающих минимальный размер пенсии, инвалидов 1, 2 групп, неработающих инвалидов 3 группы, в том числе инвалидов детства, имеющих в составе семьи двух и более человек – 18 квадратных метров на каждого члена семьи, но не более общей площади жилья.</w:t>
      </w:r>
      <w:r>
        <w:br/>
      </w:r>
      <w:r>
        <w:rPr>
          <w:rFonts w:ascii="Times New Roman"/>
          <w:b w:val="false"/>
          <w:i w:val="false"/>
          <w:color w:val="000000"/>
          <w:sz w:val="28"/>
        </w:rPr>
        <w:t>
      Для участников и инвалидов Великой Отечественной войны, участников ликвидации последствий аварии на Чернобыльской атомной электростанции, участников Афганской войны, имеющих в составе семьи двух и более человек – 33 квадратных метра, но не более общей площади жилья.</w:t>
      </w:r>
      <w:r>
        <w:br/>
      </w:r>
      <w:r>
        <w:rPr>
          <w:rFonts w:ascii="Times New Roman"/>
          <w:b w:val="false"/>
          <w:i w:val="false"/>
          <w:color w:val="000000"/>
          <w:sz w:val="28"/>
        </w:rPr>
        <w:t>
</w:t>
      </w:r>
      <w:r>
        <w:rPr>
          <w:rFonts w:ascii="Times New Roman"/>
          <w:b w:val="false"/>
          <w:i w:val="false"/>
          <w:color w:val="000000"/>
          <w:sz w:val="28"/>
        </w:rPr>
        <w:t>
      3.4 Норму потребления электрической энергии установить в размере 75 кВт в месяц на одного человека, при проживании более 4 человек - 50 кВт на каждого, но не более 300 кВт на семью.</w:t>
      </w:r>
      <w:r>
        <w:br/>
      </w:r>
      <w:r>
        <w:rPr>
          <w:rFonts w:ascii="Times New Roman"/>
          <w:b w:val="false"/>
          <w:i w:val="false"/>
          <w:color w:val="000000"/>
          <w:sz w:val="28"/>
        </w:rPr>
        <w:t>
</w:t>
      </w:r>
      <w:r>
        <w:rPr>
          <w:rFonts w:ascii="Times New Roman"/>
          <w:b w:val="false"/>
          <w:i w:val="false"/>
          <w:color w:val="000000"/>
          <w:sz w:val="28"/>
        </w:rPr>
        <w:t>
      3.5 Начисление жилищной помощи заявителю производится с учетом всех членов семьи, проживающих и зарегистрированных по данному адресу, в соответствии с производимыми в установленном порядке начислениями коммунальных услуг и расходов на содержание жилища. Определение расчетно-нормативных затрат на содержание жилища и потребление коммунальных услуг производится на основании тарифов за определенный вид услуг, предоставленных поставщиками коммунальных услуг населению города, в установленном порядке с территориальным антимонопольным органом.</w:t>
      </w:r>
      <w:r>
        <w:br/>
      </w:r>
      <w:r>
        <w:rPr>
          <w:rFonts w:ascii="Times New Roman"/>
          <w:b w:val="false"/>
          <w:i w:val="false"/>
          <w:color w:val="000000"/>
          <w:sz w:val="28"/>
        </w:rPr>
        <w:t>
</w:t>
      </w:r>
      <w:r>
        <w:rPr>
          <w:rFonts w:ascii="Times New Roman"/>
          <w:b w:val="false"/>
          <w:i w:val="false"/>
          <w:color w:val="000000"/>
          <w:sz w:val="28"/>
        </w:rPr>
        <w:t>
      3.6 Не могут претендовать на получение жилищной помощи семьи, если в них имеются трудоспособные неработающие лица с 18 лет, которые не учатся по дневной форме обучения, не служат в армии и не зарегистрированы в качестве безработных в уполномоченном органе занятости. Исключение составляют граждане, осуществляющие уход за инвалидами, лицами старше восьмидесяти лет, женщины, занятые воспитанием ребенка в возрасте до 7 лет, неработающие лица, достигшие возраста: мужчины - 55 лет, женщины - 50 лет, неработающие беременные женщины (по предоставлению справки из больницы), неработающие инвалиды 3 группы, а также лица, находившиеся на стационарном лечении не менее одного месяца или на амбулаторном лечении в связи с туберкулезным или онкологическим заболеванием не менее одного месяца.</w:t>
      </w:r>
      <w:r>
        <w:br/>
      </w:r>
      <w:r>
        <w:rPr>
          <w:rFonts w:ascii="Times New Roman"/>
          <w:b w:val="false"/>
          <w:i w:val="false"/>
          <w:color w:val="000000"/>
          <w:sz w:val="28"/>
        </w:rPr>
        <w:t>
      Пенсионеры, проживающие с совершеннолетними трудоспособными детьми, неработающими, не состоящими на учете в качестве безработных в уполномоченном органе занятости, могут претендовать на получение жилищной помощи как одиноко проживающие граждане.</w:t>
      </w:r>
      <w:r>
        <w:br/>
      </w:r>
      <w:r>
        <w:rPr>
          <w:rFonts w:ascii="Times New Roman"/>
          <w:b w:val="false"/>
          <w:i w:val="false"/>
          <w:color w:val="000000"/>
          <w:sz w:val="28"/>
        </w:rPr>
        <w:t>
</w:t>
      </w:r>
      <w:r>
        <w:rPr>
          <w:rFonts w:ascii="Times New Roman"/>
          <w:b w:val="false"/>
          <w:i w:val="false"/>
          <w:color w:val="000000"/>
          <w:sz w:val="28"/>
        </w:rPr>
        <w:t>
      3.7 В случае если у заявителя нет трудовой книжки, он не зарегистрирован в уполномоченном органе занятости в качестве безработного, факт того, что он не работает, заявитель подтверждает в письменной форме на бланке заявления.</w:t>
      </w:r>
      <w:r>
        <w:br/>
      </w:r>
      <w:r>
        <w:rPr>
          <w:rFonts w:ascii="Times New Roman"/>
          <w:b w:val="false"/>
          <w:i w:val="false"/>
          <w:color w:val="000000"/>
          <w:sz w:val="28"/>
        </w:rPr>
        <w:t>
</w:t>
      </w:r>
      <w:r>
        <w:rPr>
          <w:rFonts w:ascii="Times New Roman"/>
          <w:b w:val="false"/>
          <w:i w:val="false"/>
          <w:color w:val="000000"/>
          <w:sz w:val="28"/>
        </w:rPr>
        <w:t>
      3.8 Начисление жилищной помощи заявителю производится с учетом всех членов семьи, проживающих и зарегистрированных по данному адресу, в соответствии с производимыми в установленном порядке начислениями коммунальных услуг и расходов на содержание жилища. В случае несоответствия числа прописанных лиц, фактически проживающих в жилище, с числом лиц, на которых производится начисление коммунальных услуг, семья утрачивает право на назначение жилищной помощи.</w:t>
      </w:r>
      <w:r>
        <w:br/>
      </w:r>
      <w:r>
        <w:rPr>
          <w:rFonts w:ascii="Times New Roman"/>
          <w:b w:val="false"/>
          <w:i w:val="false"/>
          <w:color w:val="000000"/>
          <w:sz w:val="28"/>
        </w:rPr>
        <w:t>
</w:t>
      </w:r>
      <w:r>
        <w:rPr>
          <w:rFonts w:ascii="Times New Roman"/>
          <w:b w:val="false"/>
          <w:i w:val="false"/>
          <w:color w:val="000000"/>
          <w:sz w:val="28"/>
        </w:rPr>
        <w:t>
      3.9 Минимальный размер жилищной помощи в месяц не может быть менее величины 1 месячного расчетного показателя (1 МРП), установленного законодательством для исчисления пенсий, пособий и иных социальных выплат, если расчетная сумма жилищной помощи составляет от 20 тенге до величины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3.10 Гражданам, достигшим 80 (восьмидесяти) летнего возраста, участникам и инвалидам Великой Отечественной войны, участникам ликвидации последствий аварии на Чернобыльской атомной электростанции, участникам Афганской войны, одиноко проживающим пенсионерам, получающим минимальный размер пенсии, одиноко проживающим инвалидам 1, 2 групп и неработающим инвалидам 3 группы, в том числе инвалидам детства, в расчет принимать 100 % начисление по норме жилья и нормативам потребления коммунальных услуг, в частности, учитывать начисления за тепловую энергию, водоснабжение, электрическую энергию, обслуживание лифта, за содержание жилища (КСК), вывоз мусора, компенсацию повышения тарифов абонентской платы за телефон, независимо от размера дохода.</w:t>
      </w:r>
      <w:r>
        <w:br/>
      </w:r>
      <w:r>
        <w:rPr>
          <w:rFonts w:ascii="Times New Roman"/>
          <w:b w:val="false"/>
          <w:i w:val="false"/>
          <w:color w:val="000000"/>
          <w:sz w:val="28"/>
        </w:rPr>
        <w:t>
</w:t>
      </w:r>
      <w:r>
        <w:rPr>
          <w:rFonts w:ascii="Times New Roman"/>
          <w:b w:val="false"/>
          <w:i w:val="false"/>
          <w:color w:val="000000"/>
          <w:sz w:val="28"/>
        </w:rPr>
        <w:t>
      3.11 Жилищная помощь назначается на то количество месяцев, соответственно за какое количество месяцев в квартале, предшествующему обращению, был предоставлен доход на всех членов семьи (не менее чем за 15 дней в месяце).</w:t>
      </w:r>
      <w:r>
        <w:br/>
      </w:r>
      <w:r>
        <w:rPr>
          <w:rFonts w:ascii="Times New Roman"/>
          <w:b w:val="false"/>
          <w:i w:val="false"/>
          <w:color w:val="000000"/>
          <w:sz w:val="28"/>
        </w:rPr>
        <w:t>
      В случае возникновения права менее трех месяцев, но не менее 15 дней в месяце за данный квартал, расчет жилищной помощи производить по доходам и расходам за коммунальные услуги дифференцированно. Если один из членов семьи проработал менее квартала, за который определяется доход, его заработная плата учитывается за все месяцы работы в этом квартале, а среднемесячный доход определяется путем деления общего заработка и других доходов на число месяцев в квартале.</w:t>
      </w:r>
      <w:r>
        <w:br/>
      </w:r>
      <w:r>
        <w:rPr>
          <w:rFonts w:ascii="Times New Roman"/>
          <w:b w:val="false"/>
          <w:i w:val="false"/>
          <w:color w:val="000000"/>
          <w:sz w:val="28"/>
        </w:rPr>
        <w:t>
</w:t>
      </w:r>
      <w:r>
        <w:rPr>
          <w:rFonts w:ascii="Times New Roman"/>
          <w:b w:val="false"/>
          <w:i w:val="false"/>
          <w:color w:val="000000"/>
          <w:sz w:val="28"/>
        </w:rPr>
        <w:t>
      3.12 Жилищная помощь назначается сроком на один квартал независимо от времени подачи документов в текущем квартале по доходам предыдущего квартала. Выбор службы для перечисления жилищной помощи производится уполномоченным органом по согласованию с заявителем. Прием заявлений на назначение жилищной помощи производится до 25 числа последнего месяца квартала.</w:t>
      </w:r>
      <w:r>
        <w:br/>
      </w:r>
      <w:r>
        <w:rPr>
          <w:rFonts w:ascii="Times New Roman"/>
          <w:b w:val="false"/>
          <w:i w:val="false"/>
          <w:color w:val="000000"/>
          <w:sz w:val="28"/>
        </w:rPr>
        <w:t>
</w:t>
      </w:r>
      <w:r>
        <w:rPr>
          <w:rFonts w:ascii="Times New Roman"/>
          <w:b w:val="false"/>
          <w:i w:val="false"/>
          <w:color w:val="000000"/>
          <w:sz w:val="28"/>
        </w:rPr>
        <w:t>
      3.13 Заявитель извещает Сектор обо всех изменениях, влияющих на назначение жилищной помощи в течении 10 (десяти) дней со дня возникновения изменений. Излишне выплаченные суммы подлежат возврату в установленном законодательством порядке.</w:t>
      </w:r>
      <w:r>
        <w:br/>
      </w:r>
      <w:r>
        <w:rPr>
          <w:rFonts w:ascii="Times New Roman"/>
          <w:b w:val="false"/>
          <w:i w:val="false"/>
          <w:color w:val="000000"/>
          <w:sz w:val="28"/>
        </w:rPr>
        <w:t>
      В случае возникновения сомнения в достоверности сведений, предоставляемых заявителем для назначения жилищной помощи, отдел занятости и социальных программ города Аксу вправе произвести сверку достоверности предоставленных данных в соответствующих организациях, выдавших документы заявителю.</w:t>
      </w:r>
      <w:r>
        <w:br/>
      </w:r>
      <w:r>
        <w:rPr>
          <w:rFonts w:ascii="Times New Roman"/>
          <w:b w:val="false"/>
          <w:i w:val="false"/>
          <w:color w:val="000000"/>
          <w:sz w:val="28"/>
        </w:rPr>
        <w:t>
</w:t>
      </w:r>
      <w:r>
        <w:rPr>
          <w:rFonts w:ascii="Times New Roman"/>
          <w:b w:val="false"/>
          <w:i w:val="false"/>
          <w:color w:val="000000"/>
          <w:sz w:val="28"/>
        </w:rPr>
        <w:t>
      3.14 Размер жилищной помощи по оплате услуг связи в части увеличения абонентской платы за телефон, подключенный к городской сети телекоммуникации, определяется согласно </w:t>
      </w:r>
      <w:r>
        <w:rPr>
          <w:rFonts w:ascii="Times New Roman"/>
          <w:b w:val="false"/>
          <w:i w:val="false"/>
          <w:color w:val="000000"/>
          <w:sz w:val="28"/>
        </w:rPr>
        <w:t>Правилам</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w:t>
      </w:r>
      <w:r>
        <w:br/>
      </w:r>
      <w:r>
        <w:rPr>
          <w:rFonts w:ascii="Times New Roman"/>
          <w:b w:val="false"/>
          <w:i w:val="false"/>
          <w:color w:val="000000"/>
          <w:sz w:val="28"/>
        </w:rPr>
        <w:t>
</w:t>
      </w:r>
      <w:r>
        <w:rPr>
          <w:rFonts w:ascii="Times New Roman"/>
          <w:b w:val="false"/>
          <w:i w:val="false"/>
          <w:color w:val="000000"/>
          <w:sz w:val="28"/>
        </w:rPr>
        <w:t>
      3.15 Жилищная помощь по оплате капитального ремонта и (или) взносов на накопление средств на капитальный ремонт общего имущества объекта кондоминиума назначается один раз в год согласно смете расходов на проведение отдельных видов капитального ремонта общего имущества объекта кондоминиума на текущий год с указанием суммы общей площади объекта кондоминиума. Уполномоченный орган в сфере жилищно – коммунального хозяйства координирует работу по капитальному ремонту общего имущества объекта кондоминиума.</w:t>
      </w:r>
      <w:r>
        <w:br/>
      </w:r>
      <w:r>
        <w:rPr>
          <w:rFonts w:ascii="Times New Roman"/>
          <w:b w:val="false"/>
          <w:i w:val="false"/>
          <w:color w:val="000000"/>
          <w:sz w:val="28"/>
        </w:rPr>
        <w:t>
      Регистрация объекта кондоминиума подтверждается документом территориального органа юстиции.</w:t>
      </w:r>
    </w:p>
    <w:bookmarkEnd w:id="5"/>
    <w:bookmarkStart w:name="z27" w:id="6"/>
    <w:p>
      <w:pPr>
        <w:spacing w:after="0"/>
        <w:ind w:left="0"/>
        <w:jc w:val="left"/>
      </w:pPr>
      <w:r>
        <w:rPr>
          <w:rFonts w:ascii="Times New Roman"/>
          <w:b/>
          <w:i w:val="false"/>
          <w:color w:val="000000"/>
        </w:rPr>
        <w:t xml:space="preserve"> 
2. Порядок назначения жилищной помощи</w:t>
      </w:r>
    </w:p>
    <w:bookmarkEnd w:id="6"/>
    <w:bookmarkStart w:name="z28" w:id="7"/>
    <w:p>
      <w:pPr>
        <w:spacing w:after="0"/>
        <w:ind w:left="0"/>
        <w:jc w:val="both"/>
      </w:pPr>
      <w:r>
        <w:rPr>
          <w:rFonts w:ascii="Times New Roman"/>
          <w:b w:val="false"/>
          <w:i w:val="false"/>
          <w:color w:val="000000"/>
          <w:sz w:val="28"/>
        </w:rPr>
        <w:t>
      4. Для назначения жилищной помощи гражданин (семья) обращается в государственное учреждение "Отдел занятости и социальных программ города Аксу" с заявлением и предоставляет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предъявляемого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государственным учреждением "Отдел жилищно–коммунального хозяйства, пассажирского транспорта и автомобильных дорог города Аксу" (далее – уполномоченный орган в сфере жилищно-коммунального хозяйства),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w:t>
      </w:r>
      <w:r>
        <w:br/>
      </w:r>
      <w:r>
        <w:rPr>
          <w:rFonts w:ascii="Times New Roman"/>
          <w:b w:val="false"/>
          <w:i w:val="false"/>
          <w:color w:val="000000"/>
          <w:sz w:val="28"/>
        </w:rPr>
        <w:t>
      квитанцию 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Копии документов предоставляются один раз в год при первичном обращении.</w:t>
      </w:r>
    </w:p>
    <w:bookmarkEnd w:id="7"/>
    <w:bookmarkStart w:name="z29" w:id="8"/>
    <w:p>
      <w:pPr>
        <w:spacing w:after="0"/>
        <w:ind w:left="0"/>
        <w:jc w:val="left"/>
      </w:pPr>
      <w:r>
        <w:rPr>
          <w:rFonts w:ascii="Times New Roman"/>
          <w:b/>
          <w:i w:val="false"/>
          <w:color w:val="000000"/>
        </w:rPr>
        <w:t xml:space="preserve"> 
3. Выплата жилищной помощи</w:t>
      </w:r>
    </w:p>
    <w:bookmarkEnd w:id="8"/>
    <w:bookmarkStart w:name="z30" w:id="9"/>
    <w:p>
      <w:pPr>
        <w:spacing w:after="0"/>
        <w:ind w:left="0"/>
        <w:jc w:val="both"/>
      </w:pPr>
      <w:r>
        <w:rPr>
          <w:rFonts w:ascii="Times New Roman"/>
          <w:b w:val="false"/>
          <w:i w:val="false"/>
          <w:color w:val="000000"/>
          <w:sz w:val="28"/>
        </w:rPr>
        <w:t>
      5. Выплата жилищной помощи малообеспеченным семьям (гражданам) осуществляется государственным учреждением "Отдел занятости и социальных программ города Аксу" и производится в безналичной форме на текущие счета предприятий поставщиков коммунальных услуг или органа управления объектом кондоминиума через банки второго уровня, если иное не предусмотрено законодательством.</w:t>
      </w:r>
      <w:r>
        <w:br/>
      </w:r>
      <w:r>
        <w:rPr>
          <w:rFonts w:ascii="Times New Roman"/>
          <w:b w:val="false"/>
          <w:i w:val="false"/>
          <w:color w:val="000000"/>
          <w:sz w:val="28"/>
        </w:rPr>
        <w:t>
</w:t>
      </w:r>
      <w:r>
        <w:rPr>
          <w:rFonts w:ascii="Times New Roman"/>
          <w:b w:val="false"/>
          <w:i w:val="false"/>
          <w:color w:val="000000"/>
          <w:sz w:val="28"/>
        </w:rPr>
        <w:t>
      6. Выплата жилищной помощи малообеспеченным семьям (гражданам) по оплате услуг связи в части увеличения абонентской платы за телефон, подключенный к сети телекоммуникации, производится путем перечисления на личные счета получателей жилищной помощи.</w:t>
      </w:r>
      <w:r>
        <w:br/>
      </w:r>
      <w:r>
        <w:rPr>
          <w:rFonts w:ascii="Times New Roman"/>
          <w:b w:val="false"/>
          <w:i w:val="false"/>
          <w:color w:val="000000"/>
          <w:sz w:val="28"/>
        </w:rPr>
        <w:t>
</w:t>
      </w:r>
      <w:r>
        <w:rPr>
          <w:rFonts w:ascii="Times New Roman"/>
          <w:b w:val="false"/>
          <w:i w:val="false"/>
          <w:color w:val="000000"/>
          <w:sz w:val="28"/>
        </w:rPr>
        <w:t>
      7. Финансирование жилищной помощи осуществляется согласно плану финансирования на соответствующий год за счет средств бюджета.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