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43c4" w14:textId="1864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февраля 2010 года № 287 "О корректировке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23 декабря 2010 года № 393. Зарегистрировано Управлением юстиции города Рудного Костанайской области 24 января 2011 года № 9-2-176. Утратило силу решением маслихата города Рудного Костанайской области от 4 мая 2016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Рудного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на основании Схемы зонирования земель города Рудного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"О корректировке базовой ставки земельного налога" от 8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9-2-153, опубликованное 19 февраля 2010 года в городской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тексте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слова "за исключением земель, выделенных (отведенных) под автостоянки (паркинги), кроме указанных в пункте 1-1 статьи 386 Кодекса Республики Казахстан от 10 декабря 2008 года "О налогах и других обязательных платежах в бюджет" (Налоговый кодекс), автозаправочные станции и занятых под казино" заменить словами "за исключением земель, выделенных (отведенных) под автостоянки (паркинги), автозаправочные станции и занятых под казино".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четырнадцатой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очередной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по городу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Рудному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О. Рабченюк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М. Дуспулов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С. Искуженов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