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e804" w14:textId="0a3e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15 ноября 2010 года № 1199. Зарегистрировано Управлением юстиции города Рудного Костанайской области 22 декабря 2010 года № 9-2-173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условия общественных работ, размеры оплаты труда безработных,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города Рудного Костанайской области от 25.04.2011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размере, не менее минимальной месячной заработной платы, установленной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"Рудненский городской отдел занятости и социальных программ"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Администратору бюджетной программы государственному учреждению "Рудненский городской отдел жилищно-коммунального хозяйства, пассажирского транспорта и автомобильных дорог" акимата города Рудного учитывать виды и объемы общественных работ при оплате работ и услуг, оказываемых предприятиями,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 Рудному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О. Рабченюк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Шалтыков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Сатубалдин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Бримжанова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потребительского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кооператива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квартир "Качарец"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Управляющий Рудненского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регистрационной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оказания правовой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Д. Зуев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филиалом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Тлеуова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1199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917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безработных, участвующих</w:t>
      </w:r>
      <w:r>
        <w:br/>
      </w:r>
      <w:r>
        <w:rPr>
          <w:rFonts w:ascii="Times New Roman"/>
          <w:b/>
          <w:i w:val="false"/>
          <w:color w:val="000000"/>
        </w:rPr>
        <w:t>
в общественных работах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города Рудного Костанайской области от 25.04.2011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 от 22.07.2011 </w:t>
      </w:r>
      <w:r>
        <w:rPr>
          <w:rFonts w:ascii="Times New Roman"/>
          <w:b w:val="false"/>
          <w:i w:val="false"/>
          <w:color w:val="ff0000"/>
          <w:sz w:val="28"/>
        </w:rPr>
        <w:t>№ 917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606"/>
        <w:gridCol w:w="4187"/>
        <w:gridCol w:w="1645"/>
      </w:tblGrid>
      <w:tr>
        <w:trPr>
          <w:trHeight w:val="7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часах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Горняцкий"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"Канцелярия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(аппарата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 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Рудному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Рудный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</w:t>
            </w:r>
          </w:p>
        </w:tc>
      </w:tr>
      <w:tr>
        <w:trPr>
          <w:trHeight w:val="22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16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(государственный орган)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архив"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106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 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оказания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15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 парк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отдыха"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"Зеленстрой"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Рудного, 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Регулярная ручная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бордюр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проезжей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Рудного, которая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119520</w:t>
            </w:r>
          </w:p>
        </w:tc>
      </w:tr>
      <w:tr>
        <w:trPr>
          <w:trHeight w:val="130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"Качарец"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Качар,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которая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Өмір"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038"/>
        <w:gridCol w:w="2445"/>
        <w:gridCol w:w="4793"/>
      </w:tblGrid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Горняцкий"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"Качар"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Рудному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16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орган)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10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недвижимости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15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отдыха"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"РАХАТ"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13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"Качарец"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"Спортивный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Өмір"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 более 40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