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f887" w14:textId="8ddf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февраля 2010 года № 287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октября 2010 года № 363. Зарегистрировано Управлением юстиции города Рудного Костанайской области 25 ноября 2010 года № 9-2-170.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на основании Схемы зонирования земель города Рудного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корректировке базовой ставки земельного налога" от 8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9-2-153 опубликованное 19 февраля 2010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и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"за исключением земель, выделенных (отведенных) под автостоянки, автозаправочные станции и занятых под казино" заменить словами "за исключением земель, выделенных (отведенных) под автостоянки (паркинги), 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кодекс), автозаправочные станции и занятых под казино".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Виноградов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22.10.2010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22.10.2010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22.10.2010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