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41e1cc" w14:textId="741e1c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постановление акимата от 16 января 2009 года № 14 "Об утверждении перечня рыбохозяйственных водоемов местного значения"</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Постановление акимата Костанайской области от 29 октября 2010 года № 435. Зарегистрировано Департаментом юстиции Костанайской области 25 ноября 2010 года № 3740. Утратило силу постановлением акимата Костанайской области от 1 сентября 2026 года № 259</w:t>
      </w:r>
    </w:p>
    <w:p>
      <w:pPr>
        <w:spacing w:after="0"/>
        <w:ind w:left="0"/>
        <w:jc w:val="both"/>
      </w:pPr>
      <w:r>
        <w:rPr>
          <w:rFonts w:ascii="Times New Roman"/>
          <w:b w:val="false"/>
          <w:i w:val="false"/>
          <w:color w:val="ff0000"/>
          <w:sz w:val="28"/>
        </w:rPr>
        <w:t xml:space="preserve">
      Сноска. Утратило силу постановлением акимата Костанайской области от 01.09.2026 </w:t>
      </w:r>
      <w:r>
        <w:rPr>
          <w:rFonts w:ascii="Times New Roman"/>
          <w:b w:val="false"/>
          <w:i w:val="false"/>
          <w:color w:val="ff0000"/>
          <w:sz w:val="28"/>
        </w:rPr>
        <w:t>№ 259</w:t>
      </w:r>
      <w:r>
        <w:rPr>
          <w:rFonts w:ascii="Times New Roman"/>
          <w:b w:val="false"/>
          <w:i w:val="false"/>
          <w:color w:val="ff0000"/>
          <w:sz w:val="28"/>
        </w:rPr>
        <w:t xml:space="preserve"> (вводится в действие после дня его первого официального опубликования).</w:t>
      </w:r>
    </w:p>
    <w:bookmarkStart w:name="z1" w:id="0"/>
    <w:p>
      <w:pPr>
        <w:spacing w:after="0"/>
        <w:ind w:left="0"/>
        <w:jc w:val="both"/>
      </w:pPr>
      <w:r>
        <w:rPr>
          <w:rFonts w:ascii="Times New Roman"/>
          <w:b w:val="false"/>
          <w:i w:val="false"/>
          <w:color w:val="000000"/>
          <w:sz w:val="28"/>
        </w:rPr>
        <w:t xml:space="preserve">
      В соответствии с подпунктом 3) пункта 2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от 9 июля 2004 года "Об охране, воспроизводстве и использовании животного мира" акимат Костанайской области </w:t>
      </w:r>
      <w:r>
        <w:rPr>
          <w:rFonts w:ascii="Times New Roman"/>
          <w:b/>
          <w:i w:val="false"/>
          <w:color w:val="000000"/>
          <w:sz w:val="28"/>
        </w:rPr>
        <w:t>ПОСТАНОВЛЯЕТ:</w:t>
      </w:r>
    </w:p>
    <w:bookmarkEnd w:id="0"/>
    <w:bookmarkStart w:name="z2" w:id="1"/>
    <w:p>
      <w:pPr>
        <w:spacing w:after="0"/>
        <w:ind w:left="0"/>
        <w:jc w:val="both"/>
      </w:pPr>
      <w:r>
        <w:rPr>
          <w:rFonts w:ascii="Times New Roman"/>
          <w:b w:val="false"/>
          <w:i w:val="false"/>
          <w:color w:val="000000"/>
          <w:sz w:val="28"/>
        </w:rPr>
        <w:t xml:space="preserve">
      1. Внести в постановление акимата Костанайской области "Об утверждении перечня рыбохозяйственных водоемов местного значения" от 16 января 2009 года </w:t>
      </w:r>
      <w:r>
        <w:rPr>
          <w:rFonts w:ascii="Times New Roman"/>
          <w:b w:val="false"/>
          <w:i w:val="false"/>
          <w:color w:val="000000"/>
          <w:sz w:val="28"/>
        </w:rPr>
        <w:t>№ 14</w:t>
      </w:r>
      <w:r>
        <w:rPr>
          <w:rFonts w:ascii="Times New Roman"/>
          <w:b w:val="false"/>
          <w:i w:val="false"/>
          <w:color w:val="000000"/>
          <w:sz w:val="28"/>
        </w:rPr>
        <w:t xml:space="preserve"> (зарегистрировано в Реестре государственной регистрации нормативных правовых актов под номером 3666, опубликовано 29 января 2009 года в газете "Костанайский новости", 30 января 2009 года в газете "Қостанай таңы") следующие изменения и дополнения:</w:t>
      </w:r>
    </w:p>
    <w:bookmarkEnd w:id="1"/>
    <w:bookmarkStart w:name="z3" w:id="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рыбохозяйственных водоемов местного значения, утвержденном указанным постановлением:</w:t>
      </w:r>
    </w:p>
    <w:bookmarkEnd w:id="2"/>
    <w:p>
      <w:pPr>
        <w:spacing w:after="0"/>
        <w:ind w:left="0"/>
        <w:jc w:val="both"/>
      </w:pPr>
      <w:r>
        <w:rPr>
          <w:rFonts w:ascii="Times New Roman"/>
          <w:b w:val="false"/>
          <w:i w:val="false"/>
          <w:color w:val="000000"/>
          <w:sz w:val="28"/>
        </w:rPr>
        <w:t>
      строки, порядковые номера 439, 461, 652, исключить;</w:t>
      </w:r>
    </w:p>
    <w:p>
      <w:pPr>
        <w:spacing w:after="0"/>
        <w:ind w:left="0"/>
        <w:jc w:val="both"/>
      </w:pPr>
      <w:r>
        <w:rPr>
          <w:rFonts w:ascii="Times New Roman"/>
          <w:b w:val="false"/>
          <w:i w:val="false"/>
          <w:color w:val="000000"/>
          <w:sz w:val="28"/>
        </w:rPr>
        <w:t>
      дополнить строками, порядковыми номерами 758, 759, 760, 761, 762, 763, 764, 765, 766, 767, 768, 769, 770, 771, 772, 773, 774, 775, 776, 777, 778, 779, 780, 781, 782, 783, 784, 785, 786, 787, 788, 789, 790, 791, 792,793, 794, 795, 796, 797, 798, 799, 800, 801, 802, 803, 804, 805, 806, 807, 808, 809, 810, 811, 812, 813, 814, 815, 816, 817, 818, 819, 820, 821, 822, следующего содержания:</w:t>
      </w:r>
    </w:p>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Шакпак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Амангельдинский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Жекеколь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Амангельдинский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Старица Отемис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Амангельдинский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Река Байгабул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Амангельдинский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Меновская плотина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Аркалык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Жалтырколь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Аулиекольский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Камышиное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Аулиекольский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Кокпекты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Аулиекольский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Майкульская плотина №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Аулиекольский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 Майкульская дамба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Аулиекольский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Котлован Саралат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Аулиекольский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Озеро Рыбное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Костанай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Новые разливы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Костанай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 Карасай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Денисовский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Река Карасу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Джангельдинский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 Кусакан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Житикаринский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Бердинский взрывной котлован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Камыстинский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 без названия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Камыстинский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Сорколь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Камыстинский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Орунтайкопа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Камыстинский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 № 1 крестьянского</w:t>
            </w:r>
          </w:p>
          <w:p>
            <w:pPr>
              <w:spacing w:after="20"/>
              <w:ind w:left="20"/>
              <w:jc w:val="both"/>
            </w:pPr>
            <w:r>
              <w:rPr>
                <w:rFonts w:ascii="Times New Roman"/>
                <w:b w:val="false"/>
                <w:i w:val="false"/>
                <w:color w:val="000000"/>
                <w:sz w:val="20"/>
              </w:rPr>
              <w:t>
хозяйства "Артемида"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Карасуский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 № 2 крестьянского</w:t>
            </w:r>
          </w:p>
          <w:p>
            <w:pPr>
              <w:spacing w:after="20"/>
              <w:ind w:left="20"/>
              <w:jc w:val="both"/>
            </w:pPr>
            <w:r>
              <w:rPr>
                <w:rFonts w:ascii="Times New Roman"/>
                <w:b w:val="false"/>
                <w:i w:val="false"/>
                <w:color w:val="000000"/>
                <w:sz w:val="20"/>
              </w:rPr>
              <w:t>
хозяйства "Артемида"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Карасуский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 №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Карасуский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 поля №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Карасуский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 поля № 20-33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Карасуский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 ниже поля №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Карасуский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Река Карасу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Карасуский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 Рыспаевский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Кочковатое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без названия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Котлован Новый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Тюремное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Взрывной котлован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 1 Кунайжарколь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 Талый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Старица Тобола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 Пикет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Мендыкаринский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Залив реки Тобол "Коммуна"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Мендыкаринский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Взрывной котлован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Мендыкаринский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 Барсай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Мендыкаринский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Майбалык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Мендыкаринский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Река Карасу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Мендыкаринский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Река Карасу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Наурзумский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 Балювец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Сарыкольский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без названия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Сарыкольский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Кендирли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Тарановский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Калкаманколь</w:t>
            </w:r>
          </w:p>
          <w:p>
            <w:pPr>
              <w:spacing w:after="20"/>
              <w:ind w:left="20"/>
              <w:jc w:val="both"/>
            </w:pPr>
            <w:r>
              <w:rPr>
                <w:rFonts w:ascii="Times New Roman"/>
                <w:b w:val="false"/>
                <w:i w:val="false"/>
                <w:color w:val="000000"/>
                <w:sz w:val="20"/>
              </w:rPr>
              <w:t>
(Кочковатое)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Тарановский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Соленое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Тарановский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Карасор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Тарановский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без названия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Тарановский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Каратал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Тарановский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Жарколь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Тарановский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Аксу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Тарановский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Карьер Новоильиновский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Тарановский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Карьер Верхне-Тобольский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Тарановский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Карьер Железнорудный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Тарановский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Карьер Новокозыревский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Тарановский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Река Карасу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Тарановский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Чечнево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Узункольский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Казенное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Узункольский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Каратерек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Узункольский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Калининский котлован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Федоровский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 Крамское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Федоровский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Котлован Озеро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Федоровский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без названия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Федоровский</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w:t>
      </w:r>
    </w:p>
    <w:bookmarkStart w:name="z4" w:id="3"/>
    <w:p>
      <w:pPr>
        <w:spacing w:after="0"/>
        <w:ind w:left="0"/>
        <w:jc w:val="both"/>
      </w:pPr>
      <w:r>
        <w:rPr>
          <w:rFonts w:ascii="Times New Roman"/>
          <w:b w:val="false"/>
          <w:i w:val="false"/>
          <w:color w:val="000000"/>
          <w:sz w:val="28"/>
        </w:rPr>
        <w:t>
      2. Настоящее постановление вводится в действие по истечении десяти календарных дней после дня его первого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 Костанайской области</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Кулагин</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СОГЛАСОВАНО</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Начальник</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государственного учреждения</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"Тобол-Торгайская межобластная бассейновая</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инспекция рыбного хозяйства" Комитета</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рыбного хозяйства Министерства сельского</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хозяйства Республики Казахстан</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 Н. Сарсенов</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29.10.2010</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Начальник</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государственного учреждения</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"Тобол-Торгайская бассейновая инспекция</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регулированию использования и охране</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водных ресурсов" Комитета по Водным ресурсам</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Министерства сельского хозяйства</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Республики Казахстан</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 Г. Оспанбекова</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29.10.2010</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