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833" w14:textId="be0a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2010 года № 29/331. Зарегистрировано Департаментом юстиции Мангистауской области 24 декабря 2010 года № 2091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ноября 2010 года № 357-IV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2011-2013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2011 - 2013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- 72 191 886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36 092 999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2 320 488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33 776 402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71 685 234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3 078 560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1 183 394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1 184 659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3 755 302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3 755 302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26.07.2011 </w:t>
      </w:r>
      <w:r>
        <w:rPr>
          <w:rFonts w:ascii="Times New Roman"/>
          <w:b w:val="false"/>
          <w:i w:val="false"/>
          <w:color w:val="000000"/>
          <w:sz w:val="28"/>
        </w:rPr>
        <w:t>№ 35/403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01.01.2011); от 31.08.2011 </w:t>
      </w:r>
      <w:r>
        <w:rPr>
          <w:rFonts w:ascii="Times New Roman"/>
          <w:b w:val="false"/>
          <w:i w:val="false"/>
          <w:color w:val="000000"/>
          <w:sz w:val="28"/>
        </w:rPr>
        <w:t>№ 36/410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>№ 38/444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>№ 39/449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- 62,1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99,8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- 6,8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- 60,8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61,4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- 61,9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100,0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- 6,7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- 60,8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26.07.2011 </w:t>
      </w:r>
      <w:r>
        <w:rPr>
          <w:rFonts w:ascii="Times New Roman"/>
          <w:b w:val="false"/>
          <w:i w:val="false"/>
          <w:color w:val="000000"/>
          <w:sz w:val="28"/>
        </w:rPr>
        <w:t>№ 35/403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01.01.2011); от 31.08.2011 </w:t>
      </w:r>
      <w:r>
        <w:rPr>
          <w:rFonts w:ascii="Times New Roman"/>
          <w:b w:val="false"/>
          <w:i w:val="false"/>
          <w:color w:val="000000"/>
          <w:sz w:val="28"/>
        </w:rPr>
        <w:t>№ 36/410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>№ 38/444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>№ 39/449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2011 год объемы субвенций, передаваемых из областного бюджета в бюджеты районов и городов, в сумме 2 396 254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1 295 790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1 100 464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2011 год объемы бюджетных изъятий из нижестоящих бюджетов в областной бюджет в сумме 2 360 672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 – 724 674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 – 88 780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 – 1 547 218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12 731 130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 льготный проезд гражданам, проживающим в Мангистауской области и направляемым на консультацию, обследование и лечение в республиканские лечебно – профилактические центры согласно Правилам, определяемым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бесплатный или льготный проезд больным туберкулезом, направляемым на поддерживающее лечение в областной противотуберкулезный санаторий «Тущибек» и республиканские противотуберкулезные санатории согласно Правилам, определяемым постановлением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12 100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транспортных расходов, связанных с разъездным характером деятельности в общественном транспорте, медицинским работникам здравоохранения, согласно Правилам, определяемым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повышенные оклады (тарифные ставки) на 25 процентов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в сумме 276 980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решениями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26.07.2011 </w:t>
      </w:r>
      <w:r>
        <w:rPr>
          <w:rFonts w:ascii="Times New Roman"/>
          <w:b w:val="false"/>
          <w:i w:val="false"/>
          <w:color w:val="000000"/>
          <w:sz w:val="28"/>
        </w:rPr>
        <w:t>№ 35/403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31.08.2011 </w:t>
      </w:r>
      <w:r>
        <w:rPr>
          <w:rFonts w:ascii="Times New Roman"/>
          <w:b w:val="false"/>
          <w:i w:val="false"/>
          <w:color w:val="000000"/>
          <w:sz w:val="28"/>
        </w:rPr>
        <w:t>№ 36/410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27.10.2011 </w:t>
      </w:r>
      <w:r>
        <w:rPr>
          <w:rFonts w:ascii="Times New Roman"/>
          <w:b w:val="false"/>
          <w:i w:val="false"/>
          <w:color w:val="000000"/>
          <w:sz w:val="28"/>
        </w:rPr>
        <w:t>№ 38/444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06.12.2011 </w:t>
      </w:r>
      <w:r>
        <w:rPr>
          <w:rFonts w:ascii="Times New Roman"/>
          <w:b w:val="false"/>
          <w:i w:val="false"/>
          <w:color w:val="000000"/>
          <w:sz w:val="28"/>
        </w:rPr>
        <w:t>№ 39/449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2011 год, не подлежащих секвестру в процессе исполнения областного бюджета,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2011 год не подлежат секвестру бюджетные программы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9 - 1. Учесть, что в областном бюджете на 2011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«Мак»;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мулътимедийных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 - 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 - 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- сироты (детей - сирот), и ребенка (детей), оставшегося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9 - 1 в соответствии с решением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Мангистауского областного маслихата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9 - 2. Учесть, что в областном бюджете на 2011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 коммуникационной инфраструктуры в рамках программы «Нұрлы көш».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 - 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9 - 2 в соответствии с решением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Мангистауского областного маслихата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9 - 3. Учесть, что в областном бюджете на 2011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Программы «Нұрлы көш».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9 - 3 в соответствии с решением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Мангистауского областного маслихата от 06.04.2011 </w:t>
      </w:r>
      <w:r>
        <w:rPr>
          <w:rFonts w:ascii="Times New Roman"/>
          <w:b w:val="false"/>
          <w:i w:val="false"/>
          <w:color w:val="000000"/>
          <w:sz w:val="28"/>
        </w:rPr>
        <w:t>№ 31/371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9 - 4. Учесть, что в областном бюджете на 2011 год предусмотрены целевые трансферты на развитие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9 - 4 в соответствии с решением Мангистауского областного маслихата от 28.01.2011 </w:t>
      </w:r>
      <w:r>
        <w:rPr>
          <w:rFonts w:ascii="Times New Roman"/>
          <w:b w:val="false"/>
          <w:i w:val="false"/>
          <w:color w:val="000000"/>
          <w:sz w:val="28"/>
        </w:rPr>
        <w:t>№ 30/367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января 2010г.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года № 30/367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Мангистауского областного маслихата от 27.10.2011 </w:t>
      </w:r>
      <w:r>
        <w:rPr>
          <w:rFonts w:ascii="Times New Roman"/>
          <w:b w:val="false"/>
          <w:i w:val="false"/>
          <w:color w:val="ff0000"/>
          <w:sz w:val="28"/>
        </w:rPr>
        <w:t>№ 38/444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06.12.2011 </w:t>
      </w:r>
      <w:r>
        <w:rPr>
          <w:rFonts w:ascii="Times New Roman"/>
          <w:b w:val="false"/>
          <w:i w:val="false"/>
          <w:color w:val="ff0000"/>
          <w:sz w:val="28"/>
        </w:rPr>
        <w:t>№ 39/449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83"/>
        <w:gridCol w:w="783"/>
        <w:gridCol w:w="783"/>
        <w:gridCol w:w="6931"/>
        <w:gridCol w:w="270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72 191 886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36 092 999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17 183 424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17 183 424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14 987 949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14 987 949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3 921 626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3 920 760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2 320 488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31 581</w:t>
            </w:r>
          </w:p>
        </w:tc>
      </w:tr>
      <w:tr>
        <w:trPr>
          <w:trHeight w:val="10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31 581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33 776 402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2 527 170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2 527 170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95"/>
        <w:gridCol w:w="820"/>
        <w:gridCol w:w="747"/>
        <w:gridCol w:w="7013"/>
        <w:gridCol w:w="2649"/>
      </w:tblGrid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71 685 234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1 381 411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1 132 452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280 884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352 881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2 938 990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2 509 438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234 785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157 526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9 598 646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130 678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5 043 012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347 728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200 773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243 604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1 839 237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819 170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73 726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3 648 896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1 854 177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571 919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12 294 395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9 418 290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1 826 743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780 240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«Салауатты Қазақстан» на 2011-2015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563 239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1 413 579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30 034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1 171 315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853 176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218 739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287 852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9 209 667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7 645 275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775 049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1 716 808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4 979 781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1 564 392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45 355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1 059 079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344 958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3 663 143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1 191 570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1 112 616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682 614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179 765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325 307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1 066 775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4 336 710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5 781 751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262 859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539 066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195 370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25 094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106 372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1 312 848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1 312 848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548 604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616 159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71 976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1 278 363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441 157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72 782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223 598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123 441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16 358 499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16 358 499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282 533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701 107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3 078 560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83"/>
        <w:gridCol w:w="783"/>
        <w:gridCol w:w="783"/>
        <w:gridCol w:w="6979"/>
        <w:gridCol w:w="2657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693 769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325 717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95"/>
        <w:gridCol w:w="674"/>
        <w:gridCol w:w="795"/>
        <w:gridCol w:w="7013"/>
        <w:gridCol w:w="2747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1 183 394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1 184 659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1 184 659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1 109 059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83"/>
        <w:gridCol w:w="783"/>
        <w:gridCol w:w="783"/>
        <w:gridCol w:w="6907"/>
        <w:gridCol w:w="2729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315"/>
        <w:gridCol w:w="254"/>
        <w:gridCol w:w="302"/>
        <w:gridCol w:w="8789"/>
        <w:gridCol w:w="2717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-3 755 302</w:t>
            </w:r>
          </w:p>
        </w:tc>
      </w:tr>
      <w:tr>
        <w:trPr>
          <w:trHeight w:val="52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29/331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50"/>
        <w:gridCol w:w="850"/>
        <w:gridCol w:w="850"/>
        <w:gridCol w:w="6653"/>
        <w:gridCol w:w="2608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43 412 367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39 928 608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22 067 888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22 067 888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15 167 946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15 167 946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2 692 774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2 691 848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0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0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138 542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138 542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3 299 929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3 299 929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3 299 929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42 806 604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830 906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614 461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295 542</w:t>
            </w:r>
          </w:p>
        </w:tc>
      </w:tr>
      <w:tr>
        <w:trPr>
          <w:trHeight w:val="7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94 591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3 240 063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2 657 361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2 545 648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582 702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582 702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5 842 986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128 227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851 395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851 395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3 665 599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389 462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262 678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300 248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1 948 185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1 114 364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1 114 364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9 350 844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7 128 430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7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1 745 786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2 910 681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863 880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</w:p>
        </w:tc>
      </w:tr>
      <w:tr>
        <w:trPr>
          <w:trHeight w:val="7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479 365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20 380</w:t>
            </w:r>
          </w:p>
        </w:tc>
      </w:tr>
      <w:tr>
        <w:trPr>
          <w:trHeight w:val="7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300 248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2 222 414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2 222 414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954 319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678 404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46 431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46 097</w:t>
            </w:r>
          </w:p>
        </w:tc>
      </w:tr>
      <w:tr>
        <w:trPr>
          <w:trHeight w:val="6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230 824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275 915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252 388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36 566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2 872 412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108 904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1 109 867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32 464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1 035 110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52 506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69 001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812 644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649 308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163 336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947 547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332 535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50 608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317 119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317 119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359 345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59 345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17 904 821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17 904 821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29/331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2"/>
        <w:gridCol w:w="876"/>
        <w:gridCol w:w="876"/>
        <w:gridCol w:w="6641"/>
        <w:gridCol w:w="2602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52 805 457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48 576 683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27 001 423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27 001 423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18 693 991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18 693 991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2 881 269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2 880 278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148 239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148 239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4 033 616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4 033 616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52 805 457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852 036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630 345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307 040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323 305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77 458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77 458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43 901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2 701 639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2 701 639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2 587 431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7 057 888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874 190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3 750 543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394 516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183 417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272 664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88 220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313 826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1 997 289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9 482 928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7 267 803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86 425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1 785 195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2 937 483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512 203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700 047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197 206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237 363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2 252 726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2 215 126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2 148 743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111 896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1 175 327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1 097 219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542 194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334 840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51 972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26 045 454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26 045 454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29/331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25"/>
        <w:gridCol w:w="679"/>
        <w:gridCol w:w="10232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9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</w:tr>
      <w:tr>
        <w:trPr>
          <w:trHeight w:val="6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29/331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22"/>
        <w:gridCol w:w="677"/>
        <w:gridCol w:w="10340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