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5646" w14:textId="d365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областного маслихата от 16 мая 2008 года № 5/73 "О Правилах застройки территории Мангистауской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Мангистауского областного маслихата от 27 апреля 2010 года № 24/286. Зарегистрировано Департаментом юстиции Мангистауской области от 28 мая 2010 года № 2069. Утратило силу решением Мангистауского областного маслихата от 10 августа 2012 года  № 5/68</w:t>
      </w:r>
    </w:p>
    <w:p>
      <w:pPr>
        <w:spacing w:after="0"/>
        <w:ind w:left="0"/>
        <w:jc w:val="both"/>
      </w:pPr>
      <w:bookmarkStart w:name="z1" w:id="0"/>
      <w:r>
        <w:rPr>
          <w:rFonts w:ascii="Times New Roman"/>
          <w:b w:val="false"/>
          <w:i w:val="false"/>
          <w:color w:val="ff0000"/>
          <w:sz w:val="28"/>
        </w:rPr>
        <w:t xml:space="preserve">
      Сноска. Утратило силу решением Мангистауского областного маслихата от 10.08.2012 </w:t>
      </w:r>
      <w:r>
        <w:rPr>
          <w:rFonts w:ascii="Times New Roman"/>
          <w:b w:val="false"/>
          <w:i w:val="false"/>
          <w:color w:val="ff0000"/>
          <w:sz w:val="28"/>
        </w:rPr>
        <w:t>№ 5/68</w:t>
      </w:r>
      <w:r>
        <w:rPr>
          <w:rFonts w:ascii="Times New Roman"/>
          <w:b w:val="false"/>
          <w:i w:val="false"/>
          <w:color w:val="ff0000"/>
          <w:sz w:val="28"/>
        </w:rPr>
        <w:t>. </w:t>
      </w:r>
    </w:p>
    <w:bookmarkEnd w:id="0"/>
    <w:bookmarkStart w:name="z33"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Экологическим кодексом Республики Казахстан,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областного маслихата от 16 мая 2008 года № 5/73 «О Правилах застройки территории Мангистауской области» (зарегистрировано в Реестре государственной регистрации нормативных правовых актов за № 2017, опубликовано в газете "Огни Мангистау" от 24 июня 2008 года № 101)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приложении к указанному решению:</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после слова «управлении» дополнить словами «и самоуправлении»;</w:t>
      </w:r>
      <w:r>
        <w:br/>
      </w:r>
      <w:r>
        <w:rPr>
          <w:rFonts w:ascii="Times New Roman"/>
          <w:b w:val="false"/>
          <w:i w:val="false"/>
          <w:color w:val="000000"/>
          <w:sz w:val="28"/>
        </w:rPr>
        <w:t>
</w:t>
      </w:r>
      <w:r>
        <w:rPr>
          <w:rFonts w:ascii="Times New Roman"/>
          <w:b w:val="false"/>
          <w:i w:val="false"/>
          <w:color w:val="000000"/>
          <w:sz w:val="28"/>
        </w:rPr>
        <w:t>
      абзацы 22, 23 пункта 3 изложить в следующей редакции:</w:t>
      </w:r>
      <w:r>
        <w:br/>
      </w:r>
      <w:r>
        <w:rPr>
          <w:rFonts w:ascii="Times New Roman"/>
          <w:b w:val="false"/>
          <w:i w:val="false"/>
          <w:color w:val="000000"/>
          <w:sz w:val="28"/>
        </w:rPr>
        <w:t>
      «разрешение соответствующего местного исполнительного органа на проведение запрашиваемых изменений существующего объекта (отдельных частей объекта);</w:t>
      </w:r>
      <w:r>
        <w:br/>
      </w:r>
      <w:r>
        <w:rPr>
          <w:rFonts w:ascii="Times New Roman"/>
          <w:b w:val="false"/>
          <w:i w:val="false"/>
          <w:color w:val="000000"/>
          <w:sz w:val="28"/>
        </w:rPr>
        <w:t>
      разрешение на производство строительно-монтажных работ (начало строительства) по конкретному объекту (комплексу) на предназначенном для его возведения земельном участке (строительной площадке, территории, трассе).»;</w:t>
      </w:r>
      <w:r>
        <w:br/>
      </w:r>
      <w:r>
        <w:rPr>
          <w:rFonts w:ascii="Times New Roman"/>
          <w:b w:val="false"/>
          <w:i w:val="false"/>
          <w:color w:val="000000"/>
          <w:sz w:val="28"/>
        </w:rPr>
        <w:t>
</w:t>
      </w:r>
      <w:r>
        <w:rPr>
          <w:rFonts w:ascii="Times New Roman"/>
          <w:b w:val="false"/>
          <w:i w:val="false"/>
          <w:color w:val="000000"/>
          <w:sz w:val="28"/>
        </w:rPr>
        <w:t>
      в подпункте 3 пункта 4 слова «историческими, культурными ценностями» заменить словами «памятниками истории и культуры»;</w:t>
      </w:r>
      <w:r>
        <w:br/>
      </w:r>
      <w:r>
        <w:rPr>
          <w:rFonts w:ascii="Times New Roman"/>
          <w:b w:val="false"/>
          <w:i w:val="false"/>
          <w:color w:val="000000"/>
          <w:sz w:val="28"/>
        </w:rPr>
        <w:t>
</w:t>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«7.Мониторинг объектов – система наблюдения за состоянием и изменениями объектов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пункт 12 изложить в следующей редакции:</w:t>
      </w:r>
      <w:r>
        <w:br/>
      </w:r>
      <w:r>
        <w:rPr>
          <w:rFonts w:ascii="Times New Roman"/>
          <w:b w:val="false"/>
          <w:i w:val="false"/>
          <w:color w:val="000000"/>
          <w:sz w:val="28"/>
        </w:rPr>
        <w:t>
      «12.Выбор земельного участка для строительства объектов осуществляется специальными комиссиями, создаваемыми местными исполнительными органами областей, районов (городов областного значения), акимом города районного значения, поселка, аула (села), аульного (сельского) округа в пределах своей компетенции по предоставлению земельных участков.»;</w:t>
      </w:r>
      <w:r>
        <w:br/>
      </w:r>
      <w:r>
        <w:rPr>
          <w:rFonts w:ascii="Times New Roman"/>
          <w:b w:val="false"/>
          <w:i w:val="false"/>
          <w:color w:val="000000"/>
          <w:sz w:val="28"/>
        </w:rPr>
        <w:t>
</w:t>
      </w:r>
      <w:r>
        <w:rPr>
          <w:rFonts w:ascii="Times New Roman"/>
          <w:b w:val="false"/>
          <w:i w:val="false"/>
          <w:color w:val="000000"/>
          <w:sz w:val="28"/>
        </w:rPr>
        <w:t>
      пункты 19, 20 изложить в следующей редакции:</w:t>
      </w:r>
      <w:r>
        <w:br/>
      </w:r>
      <w:r>
        <w:rPr>
          <w:rFonts w:ascii="Times New Roman"/>
          <w:b w:val="false"/>
          <w:i w:val="false"/>
          <w:color w:val="000000"/>
          <w:sz w:val="28"/>
        </w:rPr>
        <w:t>
      «19. Органы, осуществляющие государственный архитектурно- строительный контроль, в течение 7 рабочих дней выдают разрешение на производство строительно-монтажных работ (начало строительства) либо дают мотивированный ответ в письменном виде о причинах отказа в выдаче разрешения.</w:t>
      </w:r>
      <w:r>
        <w:br/>
      </w:r>
      <w:r>
        <w:rPr>
          <w:rFonts w:ascii="Times New Roman"/>
          <w:b w:val="false"/>
          <w:i w:val="false"/>
          <w:color w:val="000000"/>
          <w:sz w:val="28"/>
        </w:rPr>
        <w:t>
      20. Разрешение выдается на основании заявления и прилагаемых документов, перечень которых устанавливается уполномоченным государственным органом по делам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пункт 21 исключить;</w:t>
      </w:r>
      <w:r>
        <w:br/>
      </w:r>
      <w:r>
        <w:rPr>
          <w:rFonts w:ascii="Times New Roman"/>
          <w:b w:val="false"/>
          <w:i w:val="false"/>
          <w:color w:val="000000"/>
          <w:sz w:val="28"/>
        </w:rPr>
        <w:t>
</w:t>
      </w:r>
      <w:r>
        <w:rPr>
          <w:rFonts w:ascii="Times New Roman"/>
          <w:b w:val="false"/>
          <w:i w:val="false"/>
          <w:color w:val="000000"/>
          <w:sz w:val="28"/>
        </w:rPr>
        <w:t>
      в подпункте 2) пункта 29 слова «не связанных с дополнительным отводом (прирезкой) земельного участка (территории)» исключить;</w:t>
      </w:r>
      <w:r>
        <w:br/>
      </w:r>
      <w:r>
        <w:rPr>
          <w:rFonts w:ascii="Times New Roman"/>
          <w:b w:val="false"/>
          <w:i w:val="false"/>
          <w:color w:val="000000"/>
          <w:sz w:val="28"/>
        </w:rPr>
        <w:t>
</w:t>
      </w:r>
      <w:r>
        <w:rPr>
          <w:rFonts w:ascii="Times New Roman"/>
          <w:b w:val="false"/>
          <w:i w:val="false"/>
          <w:color w:val="000000"/>
          <w:sz w:val="28"/>
        </w:rPr>
        <w:t>
      в подпункте 1) пункта 30 после аббревиатуры «РНН» дополнить словами и аббревиатурой «либо индивидуальный идентификационный номер (ИИН)»;</w:t>
      </w:r>
      <w:r>
        <w:br/>
      </w:r>
      <w:r>
        <w:rPr>
          <w:rFonts w:ascii="Times New Roman"/>
          <w:b w:val="false"/>
          <w:i w:val="false"/>
          <w:color w:val="000000"/>
          <w:sz w:val="28"/>
        </w:rPr>
        <w:t>
</w:t>
      </w:r>
      <w:r>
        <w:rPr>
          <w:rFonts w:ascii="Times New Roman"/>
          <w:b w:val="false"/>
          <w:i w:val="false"/>
          <w:color w:val="000000"/>
          <w:sz w:val="28"/>
        </w:rPr>
        <w:t>
      в подпункте 2) пункта 30 после аббревиатуры «РНН» дополнить словами и аббревиатурой «либо бизнес - идентификационный номер (БИН)»;</w:t>
      </w:r>
      <w:r>
        <w:br/>
      </w:r>
      <w:r>
        <w:rPr>
          <w:rFonts w:ascii="Times New Roman"/>
          <w:b w:val="false"/>
          <w:i w:val="false"/>
          <w:color w:val="000000"/>
          <w:sz w:val="28"/>
        </w:rPr>
        <w:t>
</w:t>
      </w:r>
      <w:r>
        <w:rPr>
          <w:rFonts w:ascii="Times New Roman"/>
          <w:b w:val="false"/>
          <w:i w:val="false"/>
          <w:color w:val="000000"/>
          <w:sz w:val="28"/>
        </w:rPr>
        <w:t>
      в подпункте 3) пункта 30 после слова «площадь» дополнить словом «этажность»;</w:t>
      </w:r>
      <w:r>
        <w:br/>
      </w:r>
      <w:r>
        <w:rPr>
          <w:rFonts w:ascii="Times New Roman"/>
          <w:b w:val="false"/>
          <w:i w:val="false"/>
          <w:color w:val="000000"/>
          <w:sz w:val="28"/>
        </w:rPr>
        <w:t>
</w:t>
      </w:r>
      <w:r>
        <w:rPr>
          <w:rFonts w:ascii="Times New Roman"/>
          <w:b w:val="false"/>
          <w:i w:val="false"/>
          <w:color w:val="000000"/>
          <w:sz w:val="28"/>
        </w:rPr>
        <w:t>
      абзац второго пункта 30 изложить в следующей редакции:</w:t>
      </w:r>
      <w:r>
        <w:br/>
      </w:r>
      <w:r>
        <w:rPr>
          <w:rFonts w:ascii="Times New Roman"/>
          <w:b w:val="false"/>
          <w:i w:val="false"/>
          <w:color w:val="000000"/>
          <w:sz w:val="28"/>
        </w:rPr>
        <w:t>
      «Для получения разрешения на изменение существующих объектов к заявлению прилагаются копии документов, удостоверяющих право собственности заявителя на изменяемый объект, с предоставлением подлинников для установления государственным органом, рассматривающим заявление, подлинности документов, либо нотариально засвидетельствованное письменное согласие собственника (сособственников) объекта на намечаемое изменение и его параметры.»;</w:t>
      </w:r>
      <w:r>
        <w:br/>
      </w:r>
      <w:r>
        <w:rPr>
          <w:rFonts w:ascii="Times New Roman"/>
          <w:b w:val="false"/>
          <w:i w:val="false"/>
          <w:color w:val="000000"/>
          <w:sz w:val="28"/>
        </w:rPr>
        <w:t>
</w:t>
      </w:r>
      <w:r>
        <w:rPr>
          <w:rFonts w:ascii="Times New Roman"/>
          <w:b w:val="false"/>
          <w:i w:val="false"/>
          <w:color w:val="000000"/>
          <w:sz w:val="28"/>
        </w:rPr>
        <w:t>
      пункт 31 изложить в следующей редакции:</w:t>
      </w:r>
      <w:r>
        <w:br/>
      </w:r>
      <w:r>
        <w:rPr>
          <w:rFonts w:ascii="Times New Roman"/>
          <w:b w:val="false"/>
          <w:i w:val="false"/>
          <w:color w:val="000000"/>
          <w:sz w:val="28"/>
        </w:rPr>
        <w:t>
      «31. В случаях, если заявитель указывает конкретное место и размеры (границы) запрашиваемого земельного участка, местные органы архитектуры и градостроительства запрашивают у него эскизы, обосновывающие пожелание заявителя относительно местоположения участка в системе застройки и основных параметров намеченного (планируемого) объекта строительства.»;</w:t>
      </w:r>
      <w:r>
        <w:br/>
      </w:r>
      <w:r>
        <w:rPr>
          <w:rFonts w:ascii="Times New Roman"/>
          <w:b w:val="false"/>
          <w:i w:val="false"/>
          <w:color w:val="000000"/>
          <w:sz w:val="28"/>
        </w:rPr>
        <w:t>
</w:t>
      </w:r>
      <w:r>
        <w:rPr>
          <w:rFonts w:ascii="Times New Roman"/>
          <w:b w:val="false"/>
          <w:i w:val="false"/>
          <w:color w:val="000000"/>
          <w:sz w:val="28"/>
        </w:rPr>
        <w:t>
      пункты 32, 33, 34, 35 изложить в следующей редакции:</w:t>
      </w:r>
      <w:r>
        <w:br/>
      </w:r>
      <w:r>
        <w:rPr>
          <w:rFonts w:ascii="Times New Roman"/>
          <w:b w:val="false"/>
          <w:i w:val="false"/>
          <w:color w:val="000000"/>
          <w:sz w:val="28"/>
        </w:rPr>
        <w:t>
      «32. При испрашивании земельного участка для строительства объектов предварительно производится выбор земельного участка, который осуществляют специальные комиссии, создаваемые местными исполнительными органами областей, районов (городов областного значения), акимом города районного значения, поселка, аула (села), аульного (сельского) округа в пределах своей компетенции по предоставлению земельных участков.</w:t>
      </w:r>
      <w:r>
        <w:br/>
      </w:r>
      <w:r>
        <w:rPr>
          <w:rFonts w:ascii="Times New Roman"/>
          <w:b w:val="false"/>
          <w:i w:val="false"/>
          <w:color w:val="000000"/>
          <w:sz w:val="28"/>
        </w:rPr>
        <w:t>
      33. Заявление о предоставлении права на земельный участок (территории, трассы) под строительство заявленного объекта либо разрешении на использование под строительство участка, принадлежащего заявителю на праве собственности или землепользования, рассматриваются в сроки, установленные Земельным кодексом Республики Казахстан.</w:t>
      </w:r>
      <w:r>
        <w:br/>
      </w:r>
      <w:r>
        <w:rPr>
          <w:rFonts w:ascii="Times New Roman"/>
          <w:b w:val="false"/>
          <w:i w:val="false"/>
          <w:color w:val="000000"/>
          <w:sz w:val="28"/>
        </w:rPr>
        <w:t>
      34. Отказ в предоставлении права на земельный участок, за исключением случаев изъятия земельных участков, в том числе для государственных нужд, оформляется решением местного исполнительного органа области, района (города областного значения), акима города районного значения, поселка, аула (села), аульного (сельского) округа, а на территории специальной экономической зоны решением администрации специальной экономической зоны, и должен быть мотивирован, а копия вручена заявителю в семидневный срок после принятия решения.</w:t>
      </w:r>
      <w:r>
        <w:br/>
      </w:r>
      <w:r>
        <w:rPr>
          <w:rFonts w:ascii="Times New Roman"/>
          <w:b w:val="false"/>
          <w:i w:val="false"/>
          <w:color w:val="000000"/>
          <w:sz w:val="28"/>
        </w:rPr>
        <w:t>
      Решение местного исполнительного органа области, района (города областного значения), акима города районного значения, поселка, аула (села), аульного (сельского) округа об отказе в предоставлении права на земельный участок принимается в семидневный срок с момента поступления соответствующего заключения комиссии.</w:t>
      </w:r>
      <w:r>
        <w:br/>
      </w:r>
      <w:r>
        <w:rPr>
          <w:rFonts w:ascii="Times New Roman"/>
          <w:b w:val="false"/>
          <w:i w:val="false"/>
          <w:color w:val="000000"/>
          <w:sz w:val="28"/>
        </w:rPr>
        <w:t>
      В случаях невозможности положительного решения о выдаче разрешения на использование под строительство участка, принадлежащего заказчику на праве собственности или землепользования, местные исполнительные органы обязаны в течение 10 календарных дней с момента обращения ответить заявителю (заказчику) мотивированным отказом, с указанием норм (положений, условий, ограничений, сервитутов) законодательства, в противоречие с которыми вступает его намерение осуществить данное строительство.</w:t>
      </w:r>
      <w:r>
        <w:br/>
      </w:r>
      <w:r>
        <w:rPr>
          <w:rFonts w:ascii="Times New Roman"/>
          <w:b w:val="false"/>
          <w:i w:val="false"/>
          <w:color w:val="000000"/>
          <w:sz w:val="28"/>
        </w:rPr>
        <w:t>
      Представление заявителем в местный исполнительный орган недостаточных, недостоверных либо не соответствующих законодательству или государственным нормативам заявочных документов является основанием для отказа в выдаче разрешительных документов.</w:t>
      </w:r>
      <w:r>
        <w:br/>
      </w:r>
      <w:r>
        <w:rPr>
          <w:rFonts w:ascii="Times New Roman"/>
          <w:b w:val="false"/>
          <w:i w:val="false"/>
          <w:color w:val="000000"/>
          <w:sz w:val="28"/>
        </w:rPr>
        <w:t>
      35. Ранее принятое решение о предоставлении земельного участка либо ранее выданное разрешение на использование имеющегося у заказчика участка под строительство отзывается, если на этом участке ведется другое несанкционированное строительство.»;</w:t>
      </w:r>
      <w:r>
        <w:br/>
      </w:r>
      <w:r>
        <w:rPr>
          <w:rFonts w:ascii="Times New Roman"/>
          <w:b w:val="false"/>
          <w:i w:val="false"/>
          <w:color w:val="000000"/>
          <w:sz w:val="28"/>
        </w:rPr>
        <w:t>
</w:t>
      </w:r>
      <w:r>
        <w:rPr>
          <w:rFonts w:ascii="Times New Roman"/>
          <w:b w:val="false"/>
          <w:i w:val="false"/>
          <w:color w:val="000000"/>
          <w:sz w:val="28"/>
        </w:rPr>
        <w:t>
      в пункте 36 слово «граждане» заменить словом «физические»;</w:t>
      </w:r>
      <w:r>
        <w:br/>
      </w:r>
      <w:r>
        <w:rPr>
          <w:rFonts w:ascii="Times New Roman"/>
          <w:b w:val="false"/>
          <w:i w:val="false"/>
          <w:color w:val="000000"/>
          <w:sz w:val="28"/>
        </w:rPr>
        <w:t>
</w:t>
      </w:r>
      <w:r>
        <w:rPr>
          <w:rFonts w:ascii="Times New Roman"/>
          <w:b w:val="false"/>
          <w:i w:val="false"/>
          <w:color w:val="000000"/>
          <w:sz w:val="28"/>
        </w:rPr>
        <w:t>
      пункт 41 изложить в следующей редакции:</w:t>
      </w:r>
      <w:r>
        <w:br/>
      </w:r>
      <w:r>
        <w:rPr>
          <w:rFonts w:ascii="Times New Roman"/>
          <w:b w:val="false"/>
          <w:i w:val="false"/>
          <w:color w:val="000000"/>
          <w:sz w:val="28"/>
        </w:rPr>
        <w:t>
      «41. Поставщики услуг по инженерному и коммунальному обеспечению в течение 5 рабочих дней с момента получения запроса направляют в местные исполнительные органы районов (городов областного значения) технические условия с указанием параметров и места присоединения либо обоснованный отказ в выдаче.»;</w:t>
      </w:r>
      <w:r>
        <w:br/>
      </w:r>
      <w:r>
        <w:rPr>
          <w:rFonts w:ascii="Times New Roman"/>
          <w:b w:val="false"/>
          <w:i w:val="false"/>
          <w:color w:val="000000"/>
          <w:sz w:val="28"/>
        </w:rPr>
        <w:t>
</w:t>
      </w:r>
      <w:r>
        <w:rPr>
          <w:rFonts w:ascii="Times New Roman"/>
          <w:b w:val="false"/>
          <w:i w:val="false"/>
          <w:color w:val="000000"/>
          <w:sz w:val="28"/>
        </w:rPr>
        <w:t>
      пункт 42 изложить в следующей редакции:</w:t>
      </w:r>
      <w:r>
        <w:br/>
      </w:r>
      <w:r>
        <w:rPr>
          <w:rFonts w:ascii="Times New Roman"/>
          <w:b w:val="false"/>
          <w:i w:val="false"/>
          <w:color w:val="000000"/>
          <w:sz w:val="28"/>
        </w:rPr>
        <w:t>
      «42. Заявление на получение архитектурно-планировочного задания и технических условий представляется заказчиком в местные исполнительные органы районов (городов областного значения).</w:t>
      </w:r>
      <w:r>
        <w:br/>
      </w:r>
      <w:r>
        <w:rPr>
          <w:rFonts w:ascii="Times New Roman"/>
          <w:b w:val="false"/>
          <w:i w:val="false"/>
          <w:color w:val="000000"/>
          <w:sz w:val="28"/>
        </w:rPr>
        <w:t>
      К заявлению прилагаются следующие документы:</w:t>
      </w:r>
      <w:r>
        <w:br/>
      </w:r>
      <w:r>
        <w:rPr>
          <w:rFonts w:ascii="Times New Roman"/>
          <w:b w:val="false"/>
          <w:i w:val="false"/>
          <w:color w:val="000000"/>
          <w:sz w:val="28"/>
        </w:rPr>
        <w:t>
      1) решение местного исполнительного органа о предоставлении (прирезке) земельного участка (разрешение на использование участка) для нового строительства или разрешение местного исполнительного органа на изменение существующих объектов - для реконструкции (перепланировки, переоборудования);</w:t>
      </w:r>
      <w:r>
        <w:br/>
      </w:r>
      <w:r>
        <w:rPr>
          <w:rFonts w:ascii="Times New Roman"/>
          <w:b w:val="false"/>
          <w:i w:val="false"/>
          <w:color w:val="000000"/>
          <w:sz w:val="28"/>
        </w:rPr>
        <w:t>
      2) утвержденное задание на проектирование.»;</w:t>
      </w:r>
      <w:r>
        <w:br/>
      </w:r>
      <w:r>
        <w:rPr>
          <w:rFonts w:ascii="Times New Roman"/>
          <w:b w:val="false"/>
          <w:i w:val="false"/>
          <w:color w:val="000000"/>
          <w:sz w:val="28"/>
        </w:rPr>
        <w:t>
</w:t>
      </w:r>
      <w:r>
        <w:rPr>
          <w:rFonts w:ascii="Times New Roman"/>
          <w:b w:val="false"/>
          <w:i w:val="false"/>
          <w:color w:val="000000"/>
          <w:sz w:val="28"/>
        </w:rPr>
        <w:t>
      в пункте 45 после слова «необходимость в» дополнить словом «дополнительном»;</w:t>
      </w:r>
      <w:r>
        <w:br/>
      </w:r>
      <w:r>
        <w:rPr>
          <w:rFonts w:ascii="Times New Roman"/>
          <w:b w:val="false"/>
          <w:i w:val="false"/>
          <w:color w:val="000000"/>
          <w:sz w:val="28"/>
        </w:rPr>
        <w:t>
</w:t>
      </w:r>
      <w:r>
        <w:rPr>
          <w:rFonts w:ascii="Times New Roman"/>
          <w:b w:val="false"/>
          <w:i w:val="false"/>
          <w:color w:val="000000"/>
          <w:sz w:val="28"/>
        </w:rPr>
        <w:t>
      пункт 47 дополнить подпунктами 13),14) следующего содержания:</w:t>
      </w:r>
      <w:r>
        <w:br/>
      </w:r>
      <w:r>
        <w:rPr>
          <w:rFonts w:ascii="Times New Roman"/>
          <w:b w:val="false"/>
          <w:i w:val="false"/>
          <w:color w:val="000000"/>
          <w:sz w:val="28"/>
        </w:rPr>
        <w:t>
      «13) реконструкций (перепланировки, переоборудования) жилых и нежилых помещений в жилых зданиях (домах), выполненных лицами, имеющими лицензии, и не требующих отвода дополнительного земельного участка (прирезки территории), не снижающих расчетную прочность конструкций, не ухудшающих архитектурно-эстетические, противопожарные, противовзрывные и санитарные качества, не оказывающих вредное воздействие на окружающую среду при эксплуатации, о чем имеется соответствующая запись автора проекта (главного инженера проекта, главного архитектора проекта);</w:t>
      </w:r>
      <w:r>
        <w:br/>
      </w:r>
      <w:r>
        <w:rPr>
          <w:rFonts w:ascii="Times New Roman"/>
          <w:b w:val="false"/>
          <w:i w:val="false"/>
          <w:color w:val="000000"/>
          <w:sz w:val="28"/>
        </w:rPr>
        <w:t>
      14) других технически не сложных строений, предназначенных для личного пользования граждан.»;</w:t>
      </w:r>
      <w:r>
        <w:br/>
      </w:r>
      <w:r>
        <w:rPr>
          <w:rFonts w:ascii="Times New Roman"/>
          <w:b w:val="false"/>
          <w:i w:val="false"/>
          <w:color w:val="000000"/>
          <w:sz w:val="28"/>
        </w:rPr>
        <w:t>
</w:t>
      </w:r>
      <w:r>
        <w:rPr>
          <w:rFonts w:ascii="Times New Roman"/>
          <w:b w:val="false"/>
          <w:i w:val="false"/>
          <w:color w:val="000000"/>
          <w:sz w:val="28"/>
        </w:rPr>
        <w:t>
      пункт 49 изложить в следующей редакции:</w:t>
      </w:r>
      <w:r>
        <w:br/>
      </w:r>
      <w:r>
        <w:rPr>
          <w:rFonts w:ascii="Times New Roman"/>
          <w:b w:val="false"/>
          <w:i w:val="false"/>
          <w:color w:val="000000"/>
          <w:sz w:val="28"/>
        </w:rPr>
        <w:t>
      «49. Разработанная в соответствии с заданием на проектирование, архитектурно-планировочным заданием и иными исходными материалами проектная (проектно-сметная) документация проходит согласования и утверждение в соответствии с требованиями, установленными государственными нормативными документами.»;</w:t>
      </w:r>
      <w:r>
        <w:br/>
      </w:r>
      <w:r>
        <w:rPr>
          <w:rFonts w:ascii="Times New Roman"/>
          <w:b w:val="false"/>
          <w:i w:val="false"/>
          <w:color w:val="000000"/>
          <w:sz w:val="28"/>
        </w:rPr>
        <w:t>
</w:t>
      </w:r>
      <w:r>
        <w:rPr>
          <w:rFonts w:ascii="Times New Roman"/>
          <w:b w:val="false"/>
          <w:i w:val="false"/>
          <w:color w:val="000000"/>
          <w:sz w:val="28"/>
        </w:rPr>
        <w:t>
      абзац второй пункта 56 изложить в следующей редакции:</w:t>
      </w:r>
      <w:r>
        <w:br/>
      </w:r>
      <w:r>
        <w:rPr>
          <w:rFonts w:ascii="Times New Roman"/>
          <w:b w:val="false"/>
          <w:i w:val="false"/>
          <w:color w:val="000000"/>
          <w:sz w:val="28"/>
        </w:rPr>
        <w:t>
      «К заявлению прилагаются копии документов, удостоверяющих право собственности заявителя на изменяемое помещение (часть здания), с предоставлением подлинников для установления государственным органом, рассматривающим заявление, подлинности документов, либо нотариально засвидетельствованное письменное согласие собственника (собственников) помещений или частей здания на их изменение, а также проект (эскиз) предполагаемых изменений, выполненный в соответствии с архитектурно – планировочным заданием соответствующего местного органа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подпункт 1) пункта 58 дополнить словами «или частей здания на заявленные изменения, а также собственников иных помещений, чьи интересы затрагивают указанные изменения»;</w:t>
      </w:r>
      <w:r>
        <w:br/>
      </w:r>
      <w:r>
        <w:rPr>
          <w:rFonts w:ascii="Times New Roman"/>
          <w:b w:val="false"/>
          <w:i w:val="false"/>
          <w:color w:val="000000"/>
          <w:sz w:val="28"/>
        </w:rPr>
        <w:t>
</w:t>
      </w:r>
      <w:r>
        <w:rPr>
          <w:rFonts w:ascii="Times New Roman"/>
          <w:b w:val="false"/>
          <w:i w:val="false"/>
          <w:color w:val="000000"/>
          <w:sz w:val="28"/>
        </w:rPr>
        <w:t>
      пункт 66 изложить в следующей редакции:</w:t>
      </w:r>
      <w:r>
        <w:br/>
      </w:r>
      <w:r>
        <w:rPr>
          <w:rFonts w:ascii="Times New Roman"/>
          <w:b w:val="false"/>
          <w:i w:val="false"/>
          <w:color w:val="000000"/>
          <w:sz w:val="28"/>
        </w:rPr>
        <w:t>
      «66. Выдача разрешения на производство строительно – монтажных работ по изменению помещений (частей здания) или отказ в его выдаче осуществляется в течение 5 рабочих дней с момента подачи заявления.»;</w:t>
      </w:r>
      <w:r>
        <w:br/>
      </w:r>
      <w:r>
        <w:rPr>
          <w:rFonts w:ascii="Times New Roman"/>
          <w:b w:val="false"/>
          <w:i w:val="false"/>
          <w:color w:val="000000"/>
          <w:sz w:val="28"/>
        </w:rPr>
        <w:t>
</w:t>
      </w:r>
      <w:r>
        <w:rPr>
          <w:rFonts w:ascii="Times New Roman"/>
          <w:b w:val="false"/>
          <w:i w:val="false"/>
          <w:color w:val="000000"/>
          <w:sz w:val="28"/>
        </w:rPr>
        <w:t>
      в пункте 75 слова «(ежегодно производится пролонгация данного разрешения)» исключить;</w:t>
      </w:r>
      <w:r>
        <w:br/>
      </w:r>
      <w:r>
        <w:rPr>
          <w:rFonts w:ascii="Times New Roman"/>
          <w:b w:val="false"/>
          <w:i w:val="false"/>
          <w:color w:val="000000"/>
          <w:sz w:val="28"/>
        </w:rPr>
        <w:t>
</w:t>
      </w:r>
      <w:r>
        <w:rPr>
          <w:rFonts w:ascii="Times New Roman"/>
          <w:b w:val="false"/>
          <w:i w:val="false"/>
          <w:color w:val="000000"/>
          <w:sz w:val="28"/>
        </w:rPr>
        <w:t>
      первый абзац пункта 80 изложить в следующей редакции:</w:t>
      </w:r>
      <w:r>
        <w:br/>
      </w:r>
      <w:r>
        <w:rPr>
          <w:rFonts w:ascii="Times New Roman"/>
          <w:b w:val="false"/>
          <w:i w:val="false"/>
          <w:color w:val="000000"/>
          <w:sz w:val="28"/>
        </w:rPr>
        <w:t>
      «80. Приемка в эксплуатацию построенного объекта государственной приемочной комиссией или приемочной комиссией производится при его полной готовности в соответствии с утвержденным проектом и наличии положительного заключения рабочей комиссии.»;</w:t>
      </w:r>
      <w:r>
        <w:br/>
      </w:r>
      <w:r>
        <w:rPr>
          <w:rFonts w:ascii="Times New Roman"/>
          <w:b w:val="false"/>
          <w:i w:val="false"/>
          <w:color w:val="000000"/>
          <w:sz w:val="28"/>
        </w:rPr>
        <w:t>
</w:t>
      </w:r>
      <w:r>
        <w:rPr>
          <w:rFonts w:ascii="Times New Roman"/>
          <w:b w:val="false"/>
          <w:i w:val="false"/>
          <w:color w:val="000000"/>
          <w:sz w:val="28"/>
        </w:rPr>
        <w:t>
      абзац второй пункта 85 изложить в следующей редакции:</w:t>
      </w:r>
      <w:r>
        <w:br/>
      </w:r>
      <w:r>
        <w:rPr>
          <w:rFonts w:ascii="Times New Roman"/>
          <w:b w:val="false"/>
          <w:i w:val="false"/>
          <w:color w:val="000000"/>
          <w:sz w:val="28"/>
        </w:rPr>
        <w:t>
      «Утверждение акта приемки производится:</w:t>
      </w:r>
      <w:r>
        <w:br/>
      </w:r>
      <w:r>
        <w:rPr>
          <w:rFonts w:ascii="Times New Roman"/>
          <w:b w:val="false"/>
          <w:i w:val="false"/>
          <w:color w:val="000000"/>
          <w:sz w:val="28"/>
        </w:rPr>
        <w:t>
      1) по объектам производственного назначения – не более чем в семидневный срок со дня подписания акта;</w:t>
      </w:r>
      <w:r>
        <w:br/>
      </w:r>
      <w:r>
        <w:rPr>
          <w:rFonts w:ascii="Times New Roman"/>
          <w:b w:val="false"/>
          <w:i w:val="false"/>
          <w:color w:val="000000"/>
          <w:sz w:val="28"/>
        </w:rPr>
        <w:t>
      2) по объектам жилищно – гражданского назначения – не более чем в пятидневный срок со дня подписания акта.»;</w:t>
      </w:r>
      <w:r>
        <w:br/>
      </w:r>
      <w:r>
        <w:rPr>
          <w:rFonts w:ascii="Times New Roman"/>
          <w:b w:val="false"/>
          <w:i w:val="false"/>
          <w:color w:val="000000"/>
          <w:sz w:val="28"/>
        </w:rPr>
        <w:t>
</w:t>
      </w:r>
      <w:r>
        <w:rPr>
          <w:rFonts w:ascii="Times New Roman"/>
          <w:b w:val="false"/>
          <w:i w:val="false"/>
          <w:color w:val="000000"/>
          <w:sz w:val="28"/>
        </w:rPr>
        <w:t>
      пункт 88 изложить в следующей редакции:</w:t>
      </w:r>
      <w:r>
        <w:br/>
      </w:r>
      <w:r>
        <w:rPr>
          <w:rFonts w:ascii="Times New Roman"/>
          <w:b w:val="false"/>
          <w:i w:val="false"/>
          <w:color w:val="000000"/>
          <w:sz w:val="28"/>
        </w:rPr>
        <w:t>
      «88. Полномочия рабочей комиссии по конкретному объекту начинаются с момента ее назначения и прекращаются с момента передачи заказчику оформленного в установленном законодательством порядке заключения по комплексной проверке вводимого в эксплуатацию объекта.»;</w:t>
      </w:r>
      <w:r>
        <w:br/>
      </w:r>
      <w:r>
        <w:rPr>
          <w:rFonts w:ascii="Times New Roman"/>
          <w:b w:val="false"/>
          <w:i w:val="false"/>
          <w:color w:val="000000"/>
          <w:sz w:val="28"/>
        </w:rPr>
        <w:t>
</w:t>
      </w:r>
      <w:r>
        <w:rPr>
          <w:rFonts w:ascii="Times New Roman"/>
          <w:b w:val="false"/>
          <w:i w:val="false"/>
          <w:color w:val="000000"/>
          <w:sz w:val="28"/>
        </w:rPr>
        <w:t>
      в пункте 126 цифры «124 – 130» заменить цифрами «119 -127».</w:t>
      </w:r>
      <w:r>
        <w:br/>
      </w:r>
      <w:r>
        <w:rPr>
          <w:rFonts w:ascii="Times New Roman"/>
          <w:b w:val="false"/>
          <w:i w:val="false"/>
          <w:color w:val="000000"/>
          <w:sz w:val="28"/>
        </w:rPr>
        <w:t>
</w:t>
      </w:r>
      <w:r>
        <w:rPr>
          <w:rFonts w:ascii="Times New Roman"/>
          <w:b w:val="false"/>
          <w:i w:val="false"/>
          <w:color w:val="000000"/>
          <w:sz w:val="28"/>
        </w:rPr>
        <w:t>
      2.Настоящее решение вводится в действие по истечении десяти календарных дней после дня их первого официального опубликования.</w:t>
      </w:r>
    </w:p>
    <w:bookmarkEnd w:id="1"/>
    <w:p>
      <w:pPr>
        <w:spacing w:after="0"/>
        <w:ind w:left="0"/>
        <w:jc w:val="both"/>
      </w:pPr>
      <w:r>
        <w:rPr>
          <w:rFonts w:ascii="Times New Roman"/>
          <w:b w:val="false"/>
          <w:i/>
          <w:color w:val="000000"/>
          <w:sz w:val="28"/>
        </w:rPr>
        <w:t>      Председатель сессии              А. Едилхан</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областного маслихата             Б. Чельпеков</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Начальник управления архитектуры</w:t>
      </w:r>
      <w:r>
        <w:br/>
      </w:r>
      <w:r>
        <w:rPr>
          <w:rFonts w:ascii="Times New Roman"/>
          <w:b w:val="false"/>
          <w:i w:val="false"/>
          <w:color w:val="000000"/>
          <w:sz w:val="28"/>
        </w:rPr>
        <w:t>
      и градостроительства области</w:t>
      </w:r>
      <w:r>
        <w:br/>
      </w:r>
      <w:r>
        <w:rPr>
          <w:rFonts w:ascii="Times New Roman"/>
          <w:b w:val="false"/>
          <w:i w:val="false"/>
          <w:color w:val="000000"/>
          <w:sz w:val="28"/>
        </w:rPr>
        <w:t>
      Б. Утегалиев</w:t>
      </w:r>
      <w:r>
        <w:br/>
      </w:r>
      <w:r>
        <w:rPr>
          <w:rFonts w:ascii="Times New Roman"/>
          <w:b w:val="false"/>
          <w:i w:val="false"/>
          <w:color w:val="000000"/>
          <w:sz w:val="28"/>
        </w:rPr>
        <w:t>
      «___» _________ 2010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