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ced2" w14:textId="908c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26 января 2010 года N 223. Зарегистрировано Управлением юстиции Осакаровского района Карагандинской области 03 февраля 2010 года N 8-15-118.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введении в действие Кодекса Республики Казахстан "О налогах и других обязательных платежах в бюджет" (Налоговый Кодекс)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стоимость разового талона для физических лиц, деятельность которых носит эпизодический характер на 2010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Установить стоимость разового талона для физических лиц, занимающихся реализацией товаров, выполняющих работы и оказывающих услуги на рынках на 2010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возложить на постоянную комиссию районного маслихата по вопросам бюджетной политики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N 223,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26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Стоимость разовых талонов для физических лиц, </w:t>
      </w:r>
      <w:r>
        <w:rPr>
          <w:rFonts w:ascii="Times New Roman"/>
          <w:b/>
          <w:i w:val="false"/>
          <w:color w:val="000080"/>
          <w:sz w:val="28"/>
        </w:rPr>
        <w:t>деятельность которых носит эпизодический характер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7050"/>
        <w:gridCol w:w="5063"/>
      </w:tblGrid>
      <w:tr>
        <w:trPr>
          <w:trHeight w:val="31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 на основе разовых талонов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разовых талонов в день в % от месячного расчетного показателя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грибов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N 223,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26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Стоимость </w:t>
      </w:r>
      <w:r>
        <w:rPr>
          <w:rFonts w:ascii="Times New Roman"/>
          <w:b/>
          <w:i w:val="false"/>
          <w:color w:val="000080"/>
          <w:sz w:val="28"/>
        </w:rPr>
        <w:t xml:space="preserve">разовых талонов для физических лиц, занимающихся реализацией товаров, выполняющих работы и оказывающих услуги на рынках, </w:t>
      </w:r>
      <w:r>
        <w:rPr>
          <w:rFonts w:ascii="Times New Roman"/>
          <w:b/>
          <w:i w:val="false"/>
          <w:color w:val="000080"/>
          <w:sz w:val="28"/>
        </w:rPr>
        <w:t>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7"/>
        <w:gridCol w:w="2877"/>
        <w:gridCol w:w="2042"/>
        <w:gridCol w:w="2299"/>
        <w:gridCol w:w="3245"/>
      </w:tblGrid>
      <w:tr>
        <w:trPr>
          <w:trHeight w:val="12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торгового места квадратный метр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квадратный метр площадь в % от месячного расчетного показателя</w:t>
            </w:r>
          </w:p>
        </w:tc>
      </w:tr>
      <w:tr>
        <w:trPr>
          <w:trHeight w:val="120" w:hRule="atLeast"/>
        </w:trPr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Осакаровского района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8,19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прилавок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