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7411" w14:textId="27b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15 января 2010 года N 01/04. Зарегистрировано Управлением юстиции Бухар-Жырауского района Карагандинской области 02 февраля 2010 года N 8-11-87. Утратило силу - постановлением акимата Бухар-Жырауского района Карагандинской области от 7 декабря 2010 года N 35/03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07.12.2010 N 35/03.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N 836 и в целях обеспечения временной занятости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организаций, в которых будут проводиться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виды и объемы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Оплату труда безработных, участвующих в общественных работах производить в размере минимальной заработной платы,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07 декабря 2009 года "О республиканском бюджете на 2010-2012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(Исабаев Мурат Ойдашевич) обеспечить финансирование общественных работ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занятости и социальных программ (Алексеева Надежда Григорьевна):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заключение договоров с руководителями организаций и направление безработных с их согласия в организации, согласно представленных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начисление и выплату заработной платы безработным, участвующим в общественных работах, согласно представленного работодателями акта выполненных работ и табеля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организации общественных работ на 2009 год" N 02/01 от 20 января 2009 года (регистрационный номер 8-11-70, опубликовано в районной газете "Сарыарка" N 6, 14 февраля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 и распространяется на правоотношения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N 01/04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Бухар-Жырауское отделение государственного центра по выплате пенсий.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работы с молодежью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по делам обороны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Налоговое управление по Бухар-Жыраускому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внутренних дел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юстиции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Прокуратура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Аппарат акима поселка Ботакара Бухар-Жырауского района.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N 01/04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объемы общественных работ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социальных услуг на дому одиноким инвалидам и престарелым гражданам - сумма 2454.0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пакета документов необходимых для назначения Государственного детского пособия, адресной социальной помощи и другие виды социальной помощи – сумма 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документации при проведении перерасчета пенсий и государственных социальных пособий - сумма 179,4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с подростками и молодежью в дворовых клубах по месту жительства - сумма 717.6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Работа с населением, доставка уведомлений и квитанции по уплате налогов на имущество, транспортные средства - сумма 1151,0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Сбор и оформление документов необходимых для регистрации и документирования оралманов – сумма 179,4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Формирование архивной базы документов по гос. регистрации недвижимости - сумма 179.4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картотеки учета транспортных средств, оформление номенклатурной документации - сумма 179,4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Озеленение и благоустройство п. Ботакара – сумма 1671.2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Работа с населением по призыву в ряды Вооруженных Сил, доставка повесток – сумма 269,1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Техническая обработка электронной базы данных - 358.8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Работа по обработке документов в органах юстиции - сумма 358.8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Диспетчерская служба – 717,7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Работа по подготовке реестров, уведомлений, обработка документов, сдаваемых в архив – 179.4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Ведение электронной базы, обработка документов – 179.4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Помощь в работе с документацией – 179.4 тысяч тенге.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