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01a7" w14:textId="b810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сельский населенный пункт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03 февраля 2010 года N 288. Зарегистрировано Управлением юстиции города Сатпаев Карагандинской области 12 февраля 2010 года N 8-6-98. Утратило силу - решением Сатпаевского городского маслихата Карагандинской области от 25 марта 2011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25.03.2011 N 418.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2010 год специалистам здравоохранения, образования, социального обеспечения, культуры и спорта, прибывшим для работы и проживания в сельский населенный пункт,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выделение средств в бюджете города Сатпаев на 2010 год по программе 10.2.453.099.000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