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83a3" w14:textId="690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№ 101 Хромтауского районного маслихата "Об установлении размеров ставок фиксированного налога на единицу налогообложения в месяц" от 29 января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26 июля 2010 года № 195. Зарегистрировано Управлением юстиции Хромтауского района Актюбинской области 23 августа 2010 года № 3-12-124. Утратило силу решением маслихата Хромтауского района Актюбинской области от 2 марта 2018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с изменениями, внесенными решением маслихата Хромтауского района Актюбинской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101 Хромтауского районного маслихата от 29 января 2009 года "Об установлении размеров ставок фиксированного налога на единицу налогообложения в месяц" (зарегистрировано в Реестре государственной регистрации нормативных правовых актов за № 3-12-80, опубликовано 12 февраля 2009 года в № 7 районной газеты "Хромтау")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в первой строке размер налоговой ставки за игровой автомат без выигрыша, предназначенный для проведения игры с одним игроком, заменить с 12-ти месячного расчетного показателя на 1 месячный расчетный показатель;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строке размер налоговой ставки за игровой автомат без выигрыша, предназначенный для проведения игры с участием более одного игрока, с 18-ти месячного расчетного показателя на 1 месячный расчетный показатель.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и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