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6dc7" w14:textId="aa46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решение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мая 2010 года № 356/48-IV. Зарегистрировано Департаментом юстиции города Астаны 2 июля 2010 года № 636. Утратило силу решением маслихата города Астаны от 20 июля 2017 года № 166/21-VI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166/21-VI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марта 2004 года № 28/6-III "О Правилах благоустройства, санитарного содержания, организации уборки и обеспечения чистоты на территории города Астаны" (зарегистрировано в Реестре государственной регистрации нормативных правовых актов 5 мая 2004 года за № 326, опубликовано в газетах "Вечерняя Астана" № 63-64 от 22 мая 2004 года, "Астана хабары" № 62-63 от 15 мая 2004 года) следующие дополнение и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благоустройства, санитарного содержания, организации уборки и обеспечения чистоты на территории города Астаны,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131-1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"131-1. Аппараты акимов районов города Астаны осуществляют благоустройство территорий школ. Расходы по благоустройству территорий школ осуществляются в пределах средств, утвержденных по соответствующей бюджетной программе.";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"производство действий, нарушающих тишину и порядок, с 23 до 6 часов, кроме работ по устранению аварийных ситуаций;".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Келигов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