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ebcf" w14:textId="4e7e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июня 2010 года № 87. Зарегистрировано в Министерстве юстиции Республики Казахстан 2 августа 2010 года № 6374. Утратило силу постановлением Правления Национального Банка Республики Казахстан от 29 апреля 2016 года № 115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29.04.2016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государственной регистрации выпуска негосударственных облигаций и рассмотрения отчетов об итогах размещения и погашения облигаций,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29.02.2016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(зарегистрированное в Реестре государственной регистрации нормативных правовых актов под № 3822) следующие дополнения и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1-5</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"1-5. В случае реорганизации эмитента путем слияния, присоединения, разделения, выделения, преобразования, проспект выпуска облигаций (облигационной программы) содержит сведения за период до двух лет до даты регистрации вновь возникших юридических лиц или внесения изменений в учредительные документы существующих юридических лиц, с приложением финансовой отчетности юридического лица (юридических лиц), правопреемником которого (которых) является эмитент.";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 xml:space="preserve">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подпунктом 8)</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"8) в случае уменьшения количества облигаций - копия выданной регистратором выписки о состоянии лицевого счета эмитента для учета ценных бумаг на дату, предшествующую дате принятия решения об уменьшении количества облигаций.";</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в части третьей:</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слово "банком" заменить словом "эмитентом";</w:t>
      </w:r>
      <w:r>
        <w:br/>
      </w:r>
      <w:r>
        <w:rPr>
          <w:rFonts w:ascii="Times New Roman"/>
          <w:b w:val="false"/>
          <w:i w:val="false"/>
          <w:color w:val="000000"/>
          <w:sz w:val="28"/>
        </w:rPr>
        <w:t>
</w:t>
      </w:r>
      <w:r>
        <w:rPr>
          <w:rFonts w:ascii="Times New Roman"/>
          <w:b w:val="false"/>
          <w:i w:val="false"/>
          <w:color w:val="000000"/>
          <w:sz w:val="28"/>
        </w:rPr>
        <w:t>
      цифры "1)-7)" заменить цифрами "1)-5), 7)";</w:t>
      </w:r>
      <w:r>
        <w:br/>
      </w:r>
      <w:r>
        <w:rPr>
          <w:rFonts w:ascii="Times New Roman"/>
          <w:b w:val="false"/>
          <w:i w:val="false"/>
          <w:color w:val="000000"/>
          <w:sz w:val="28"/>
        </w:rPr>
        <w:t>
</w:t>
      </w:r>
      <w:r>
        <w:rPr>
          <w:rFonts w:ascii="Times New Roman"/>
          <w:b w:val="false"/>
          <w:i w:val="false"/>
          <w:color w:val="000000"/>
          <w:sz w:val="28"/>
        </w:rPr>
        <w:t>
      в абзацах втором и третьем слово "банка" заменить словом "эмитента";</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"банком" заменить словом "эмитентом";</w:t>
      </w:r>
      <w:r>
        <w:br/>
      </w:r>
      <w:r>
        <w:rPr>
          <w:rFonts w:ascii="Times New Roman"/>
          <w:b w:val="false"/>
          <w:i w:val="false"/>
          <w:color w:val="000000"/>
          <w:sz w:val="28"/>
        </w:rPr>
        <w:t>
</w:t>
      </w:r>
      <w:r>
        <w:rPr>
          <w:rFonts w:ascii="Times New Roman"/>
          <w:b w:val="false"/>
          <w:i w:val="false"/>
          <w:color w:val="000000"/>
          <w:sz w:val="28"/>
        </w:rPr>
        <w:t>
      слова "банка либо в рамках меры раннего реагирования, применяемой уполномоченным органом к банку" заменить словами "эмитента";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 слово "банком" заменить словом "эмитентом";</w:t>
      </w:r>
      <w:r>
        <w:br/>
      </w:r>
      <w:r>
        <w:rPr>
          <w:rFonts w:ascii="Times New Roman"/>
          <w:b w:val="false"/>
          <w:i w:val="false"/>
          <w:color w:val="000000"/>
          <w:sz w:val="28"/>
        </w:rPr>
        <w:t>
</w:t>
      </w:r>
      <w:r>
        <w:rPr>
          <w:rFonts w:ascii="Times New Roman"/>
          <w:b w:val="false"/>
          <w:i w:val="false"/>
          <w:color w:val="000000"/>
          <w:sz w:val="28"/>
        </w:rPr>
        <w:t>
      в подпунктах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слово "банка" заменить словом "эмитента";</w:t>
      </w:r>
      <w:r>
        <w:br/>
      </w:r>
      <w:r>
        <w:rPr>
          <w:rFonts w:ascii="Times New Roman"/>
          <w:b w:val="false"/>
          <w:i w:val="false"/>
          <w:color w:val="000000"/>
          <w:sz w:val="28"/>
        </w:rPr>
        <w:t>
</w:t>
      </w:r>
      <w:r>
        <w:rPr>
          <w:rFonts w:ascii="Times New Roman"/>
          <w:b w:val="false"/>
          <w:i w:val="false"/>
          <w:color w:val="000000"/>
          <w:sz w:val="28"/>
        </w:rPr>
        <w:t>
      в части второй слово "банком" заменить словом "эмитентом";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w:t>
      </w:r>
      <w:r>
        <w:rPr>
          <w:rFonts w:ascii="Times New Roman"/>
          <w:b w:val="false"/>
          <w:i w:val="false"/>
          <w:color w:val="000000"/>
          <w:sz w:val="28"/>
        </w:rPr>
        <w:t>2-1)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"2-1) дату, на которую составлен проспект выпуска облигаций и представлены финансовые показатели;";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после слова "(перерегистрацию)" дополнить словами ", и дату первичной регистрации эмитента";</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7-1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"7-1. Если эмитент обладает статусом финансового агентства, то следует указать следующие сведения:</w:t>
      </w:r>
      <w:r>
        <w:br/>
      </w:r>
      <w:r>
        <w:rPr>
          <w:rFonts w:ascii="Times New Roman"/>
          <w:b w:val="false"/>
          <w:i w:val="false"/>
          <w:color w:val="000000"/>
          <w:sz w:val="28"/>
        </w:rPr>
        <w:t>
      1) дата присвоения статуса финансового агентства;</w:t>
      </w:r>
      <w:r>
        <w:br/>
      </w:r>
      <w:r>
        <w:rPr>
          <w:rFonts w:ascii="Times New Roman"/>
          <w:b w:val="false"/>
          <w:i w:val="false"/>
          <w:color w:val="000000"/>
          <w:sz w:val="28"/>
        </w:rPr>
        <w:t>
      2) факты невыполнения пруденциальных нормативов,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июля 2003 года № 251 "О пруденциальных нормативах для финансового агентства и порядке утраты статуса финансового агентства" (зарегистрированным в Реестре государственной регистрации нормативных правовых актов под № 2449).";</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после слов "членов совета директоров (наблюдательного совета)" дополнить словами "и дата вступления этих лиц в должности";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после слов "совета директоров" дополнить словами "и дата вступления этих лиц в должности";</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"13-1. Комитеты совета директоров эмитента (при наличии таковых).</w:t>
      </w:r>
      <w:r>
        <w:br/>
      </w:r>
      <w:r>
        <w:rPr>
          <w:rFonts w:ascii="Times New Roman"/>
          <w:b w:val="false"/>
          <w:i w:val="false"/>
          <w:color w:val="000000"/>
          <w:sz w:val="28"/>
        </w:rPr>
        <w:t>
      В данном пункте необходимо указать наименование (наименования) комитета (комитетов) совета директоров эмитента, его (их) компетенцию, фамилия, имя, при наличии - отчество и год рождения каждого члена комитета (комитетов) совета директоров эмитента и даты вступления их в должности.</w:t>
      </w:r>
      <w:r>
        <w:br/>
      </w:r>
      <w:r>
        <w:rPr>
          <w:rFonts w:ascii="Times New Roman"/>
          <w:b w:val="false"/>
          <w:i w:val="false"/>
          <w:color w:val="000000"/>
          <w:sz w:val="28"/>
        </w:rPr>
        <w:t>
      13-2. Служба внутреннего аудита (при наличии).</w:t>
      </w:r>
      <w:r>
        <w:br/>
      </w:r>
      <w:r>
        <w:rPr>
          <w:rFonts w:ascii="Times New Roman"/>
          <w:b w:val="false"/>
          <w:i w:val="false"/>
          <w:color w:val="000000"/>
          <w:sz w:val="28"/>
        </w:rPr>
        <w:t>
      В данном пункте необходимо указать фамилию, имя, при наличии - отчество и год рождения каждого сотрудника службы внутреннего аудита общества и даты вступления их в должности.";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14 после слова "совместительству" дополнить словами ", даты вступления их в должности";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18 после слов "(участников) эмитента" дополнить словами "(в случае если акционером (участником) эмитента является юридическое лицо, то указываются крупные акционеры данного юридического лица)";</w:t>
      </w:r>
      <w:r>
        <w:br/>
      </w:r>
      <w:r>
        <w:rPr>
          <w:rFonts w:ascii="Times New Roman"/>
          <w:b w:val="false"/>
          <w:i w:val="false"/>
          <w:color w:val="000000"/>
          <w:sz w:val="28"/>
        </w:rPr>
        <w:t>
</w:t>
      </w:r>
      <w:r>
        <w:rPr>
          <w:rFonts w:ascii="Times New Roman"/>
          <w:b w:val="false"/>
          <w:i w:val="false"/>
          <w:color w:val="000000"/>
          <w:sz w:val="28"/>
        </w:rPr>
        <w:t>
      название </w:t>
      </w:r>
      <w:r>
        <w:rPr>
          <w:rFonts w:ascii="Times New Roman"/>
          <w:b w:val="false"/>
          <w:i w:val="false"/>
          <w:color w:val="000000"/>
          <w:sz w:val="28"/>
        </w:rPr>
        <w:t>раздела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Описание деятельности эмитента (в случае если эмитент входит в состав группы согласно международному стандарту финансовой отчетности IAS 27, то данный раздел заполняется на основании консолидированной финансовой отчетности всей группы)";</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36-4</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"36-4. Указываются чистые потоки денежных средств, полученные от деятельности эмитента, за один из двух последних завершенных финансовых лет согласно его финансовой отчетности,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"(по номинальной стоимости)" исключить;</w:t>
      </w:r>
      <w:r>
        <w:br/>
      </w:r>
      <w:r>
        <w:rPr>
          <w:rFonts w:ascii="Times New Roman"/>
          <w:b w:val="false"/>
          <w:i w:val="false"/>
          <w:color w:val="000000"/>
          <w:sz w:val="28"/>
        </w:rPr>
        <w:t>
</w:t>
      </w:r>
      <w:r>
        <w:rPr>
          <w:rFonts w:ascii="Times New Roman"/>
          <w:b w:val="false"/>
          <w:i w:val="false"/>
          <w:color w:val="000000"/>
          <w:sz w:val="28"/>
        </w:rPr>
        <w:t>
      слова "и досрочно погашенных облигаций, с указанием даты погашения" заменить словами "облигаций, с указанием даты выкупа";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слово "привилегированным"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"погашения и суммы, подлежащие погашению" заменить словами "выкупа и суммы, выплаченные при погашении";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вид облигаций (купонные или дисконтные, инфраструктурные или выпускаемые специальной финансовой компанией), наличие обеспечения (с обеспечением или без обеспечения, в том числе субординированные), характер расчета номинальной стоимости или размера вознаграждения (индексированные);";</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подпунктом 3-1)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"3-1) дата начала обращения облигаций;";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дополнить абзацем шестым следующего содержания:</w:t>
      </w:r>
      <w:r>
        <w:br/>
      </w:r>
      <w:r>
        <w:rPr>
          <w:rFonts w:ascii="Times New Roman"/>
          <w:b w:val="false"/>
          <w:i w:val="false"/>
          <w:color w:val="000000"/>
          <w:sz w:val="28"/>
        </w:rPr>
        <w:t>
      "места и лиц, к которым необходимо обратиться при погашении облигаций наличными деньгами через кассу эмитента;";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дополнить абзацем четвертым следующего содержания:</w:t>
      </w:r>
      <w:r>
        <w:br/>
      </w:r>
      <w:r>
        <w:rPr>
          <w:rFonts w:ascii="Times New Roman"/>
          <w:b w:val="false"/>
          <w:i w:val="false"/>
          <w:color w:val="000000"/>
          <w:sz w:val="28"/>
        </w:rPr>
        <w:t>
      "в случае, если выплата вознаграждения и (или) основного долга будет производиться в соответствии с проспектом выпуска облигаций иными имущественными правами, описания этих прав, способов их сохранности, порядка оценки и лиц, правомочных осуществлять оценку указанных прав, а также порядка реализации перехода этих прав;";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дополнить абзацем четвертым следующего содержания:</w:t>
      </w:r>
      <w:r>
        <w:br/>
      </w:r>
      <w:r>
        <w:rPr>
          <w:rFonts w:ascii="Times New Roman"/>
          <w:b w:val="false"/>
          <w:i w:val="false"/>
          <w:color w:val="000000"/>
          <w:sz w:val="28"/>
        </w:rPr>
        <w:t>
      "Указывается дата и номер договора с лицами, несущими солидарную или субсидиарную ответственность по обязательствам эмитента в случае неисполнения либо ненадлежащего исполнения эмитентом обязательств по облигациям, а также дата и номер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подпункта 8)</w:t>
      </w:r>
      <w:r>
        <w:rPr>
          <w:rFonts w:ascii="Times New Roman"/>
          <w:b w:val="false"/>
          <w:i w:val="false"/>
          <w:color w:val="000000"/>
          <w:sz w:val="28"/>
        </w:rPr>
        <w:t xml:space="preserve"> слова "держателю облигаций"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Использование денег от размещения облигаций.</w:t>
      </w:r>
      <w:r>
        <w:br/>
      </w:r>
      <w:r>
        <w:rPr>
          <w:rFonts w:ascii="Times New Roman"/>
          <w:b w:val="false"/>
          <w:i w:val="false"/>
          <w:color w:val="000000"/>
          <w:sz w:val="28"/>
        </w:rPr>
        <w:t>
      При выпуске облигаций специальной финансовой компании указываются:</w:t>
      </w:r>
      <w:r>
        <w:br/>
      </w:r>
      <w:r>
        <w:rPr>
          <w:rFonts w:ascii="Times New Roman"/>
          <w:b w:val="false"/>
          <w:i w:val="false"/>
          <w:color w:val="000000"/>
          <w:sz w:val="28"/>
        </w:rPr>
        <w:t>
      порядок инвестирования временно свободных поступлений по выделенным активам;</w:t>
      </w:r>
      <w:r>
        <w:br/>
      </w:r>
      <w:r>
        <w:rPr>
          <w:rFonts w:ascii="Times New Roman"/>
          <w:b w:val="false"/>
          <w:i w:val="false"/>
          <w:color w:val="000000"/>
          <w:sz w:val="28"/>
        </w:rPr>
        <w:t>
      расходы, связанные с оплатой услуг по сделке секьюритизации, и условия, согласно которым специальная финансовая компания вправе вычитать данные расходы из выделенных активов.</w:t>
      </w:r>
      <w:r>
        <w:br/>
      </w:r>
      <w:r>
        <w:rPr>
          <w:rFonts w:ascii="Times New Roman"/>
          <w:b w:val="false"/>
          <w:i w:val="false"/>
          <w:color w:val="000000"/>
          <w:sz w:val="28"/>
        </w:rPr>
        <w:t>
      Указываются сведения об использовании денег, которые эмитент получит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w:t>
      </w:r>
      <w:r>
        <w:br/>
      </w:r>
      <w:r>
        <w:rPr>
          <w:rFonts w:ascii="Times New Roman"/>
          <w:b w:val="false"/>
          <w:i w:val="false"/>
          <w:color w:val="000000"/>
          <w:sz w:val="28"/>
        </w:rPr>
        <w:t>
      При выпуске инфраструктурных облигаций указываются:</w:t>
      </w:r>
      <w:r>
        <w:br/>
      </w:r>
      <w:r>
        <w:rPr>
          <w:rFonts w:ascii="Times New Roman"/>
          <w:b w:val="false"/>
          <w:i w:val="false"/>
          <w:color w:val="000000"/>
          <w:sz w:val="28"/>
        </w:rPr>
        <w:t>
      расходы, связанные с оплатой услуг представителя держателей облигаций в соответствии с условиями заключенного с ним договора;</w:t>
      </w:r>
      <w:r>
        <w:br/>
      </w:r>
      <w:r>
        <w:rPr>
          <w:rFonts w:ascii="Times New Roman"/>
          <w:b w:val="false"/>
          <w:i w:val="false"/>
          <w:color w:val="000000"/>
          <w:sz w:val="28"/>
        </w:rPr>
        <w:t>
      описание имущества, являющегося обеспечением исполнения обязательств эмитента перед держателями облигаций.</w:t>
      </w:r>
      <w:r>
        <w:br/>
      </w:r>
      <w:r>
        <w:rPr>
          <w:rFonts w:ascii="Times New Roman"/>
          <w:b w:val="false"/>
          <w:i w:val="false"/>
          <w:color w:val="000000"/>
          <w:sz w:val="28"/>
        </w:rPr>
        <w:t>
      Указываются сведения об использовании денег, которые эмитент получит от размещения облигаций, а также условия, при наступлении которых возможны изменения в планируемом распределении полученных денег, с указанием таких изменений.";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10 изложить в следующей редакции:</w:t>
      </w:r>
      <w:r>
        <w:br/>
      </w:r>
      <w:r>
        <w:rPr>
          <w:rFonts w:ascii="Times New Roman"/>
          <w:b w:val="false"/>
          <w:i w:val="false"/>
          <w:color w:val="000000"/>
          <w:sz w:val="28"/>
        </w:rPr>
        <w:t>
      "1) общее количество акционеров (участников) эмитента (в случае если акционером (участником) эмитента является юридическое лицо, то указываются крупные акционеры данного юридического лица), полное и сокращенное наименование, место нахождения юридического лица либо фамилия, имя акционеров (участников), которые владеют десятью и более процентами размещенных акций (долей в уставном капитале) эмитента;";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3 приложения 3 дополнить абзацем вторым следующего содержания:</w:t>
      </w:r>
      <w:r>
        <w:br/>
      </w:r>
      <w:r>
        <w:rPr>
          <w:rFonts w:ascii="Times New Roman"/>
          <w:b w:val="false"/>
          <w:i w:val="false"/>
          <w:color w:val="000000"/>
          <w:sz w:val="28"/>
        </w:rPr>
        <w:t>
      "даты начала обращения облигаций;";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10)</w:t>
      </w:r>
      <w:r>
        <w:rPr>
          <w:rFonts w:ascii="Times New Roman"/>
          <w:b w:val="false"/>
          <w:i w:val="false"/>
          <w:color w:val="000000"/>
          <w:sz w:val="28"/>
        </w:rPr>
        <w:t xml:space="preserve"> слова "не размещенных" заменить словом "неразмещенных".</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Департаменту лицензирования (Каскаманова Н.К.):</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5.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Байсынова М.Б.</w:t>
      </w:r>
    </w:p>
    <w:bookmarkEnd w:id="0"/>
    <w:p>
      <w:pPr>
        <w:spacing w:after="0"/>
        <w:ind w:left="0"/>
        <w:jc w:val="both"/>
      </w:pPr>
      <w:r>
        <w:rPr>
          <w:rFonts w:ascii="Times New Roman"/>
          <w:b w:val="false"/>
          <w:i/>
          <w:color w:val="000000"/>
          <w:sz w:val="28"/>
        </w:rPr>
        <w:t>      Председатель                               Е. Бахмутова</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