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a9ca" w14:textId="3f7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апреля 2010 года № 138-ОД. Зарегистрирован в Министерстве юстиции Республики Казахстан 2 июня 2010 года № 6280. Утратил силу приказом Председателя Агентства Республики Казахстан по регулированию естественных монополий от 27 июня 2013 года № 187-ОД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Приказ утратил силу приказом Председателя Агентства РК по регулированию естественных монополий от 27.06.2013 </w:t>
      </w:r>
      <w:r>
        <w:rPr>
          <w:rFonts w:ascii="Times New Roman"/>
          <w:b w:val="false"/>
          <w:i w:val="false"/>
          <w:color w:val="ff0000"/>
          <w:sz w:val="28"/>
        </w:rPr>
        <w:t>№ 187-ОД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ежемесячной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сфере железнодорожного транспорта, гражданской авиации, портовой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сфере электроснабжения,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 в области нефтепродуктов и газа,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Алдабергенов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138-ОД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 объемах производства (реализации) и отпускных ценах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производимых (реализуемых) товаров (работ, услуг)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регулируемого рынка в сфере железнодорожного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портовой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616"/>
        <w:gridCol w:w="1616"/>
        <w:gridCol w:w="1613"/>
        <w:gridCol w:w="1613"/>
        <w:gridCol w:w="1622"/>
        <w:gridCol w:w="1622"/>
        <w:gridCol w:w="1767"/>
      </w:tblGrid>
      <w:tr>
        <w:trPr>
          <w:trHeight w:val="30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(без НДС)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информация по графам 2-8 представляется с разбивкой по филиалам, видам сообщений, видам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138-ОД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об объемах производства (реализации), уровня доходности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отпускных ценах производимых (реализуемых) товаров (работ, </w:t>
      </w:r>
      <w:r>
        <w:rPr>
          <w:rFonts w:ascii="Times New Roman"/>
          <w:b/>
          <w:i w:val="false"/>
          <w:color w:val="000000"/>
          <w:sz w:val="28"/>
        </w:rPr>
        <w:t>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субъекта регулируемого рынка в сфере электроснабжения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___________________ 201___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842"/>
        <w:gridCol w:w="1353"/>
        <w:gridCol w:w="1785"/>
        <w:gridCol w:w="1333"/>
        <w:gridCol w:w="882"/>
        <w:gridCol w:w="1609"/>
        <w:gridCol w:w="1805"/>
        <w:gridCol w:w="1530"/>
      </w:tblGrid>
      <w:tr>
        <w:trPr>
          <w:trHeight w:val="30" w:hRule="atLeast"/>
        </w:trPr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реализации (кв.час)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потребителей*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868"/>
        <w:gridCol w:w="1868"/>
        <w:gridCol w:w="1869"/>
        <w:gridCol w:w="1869"/>
        <w:gridCol w:w="1869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 в тенге (без НДС)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доходности</w:t>
            </w:r>
          </w:p>
        </w:tc>
      </w:tr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группам потребителей*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в зависимости от принятой дифференциации отпускного тарифа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(руководитель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П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138-ОД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 объемах производства (реализации), уровне доходности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отпускных ценах производимых (реализуемых)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(работ, </w:t>
      </w:r>
      <w:r>
        <w:rPr>
          <w:rFonts w:ascii="Times New Roman"/>
          <w:b/>
          <w:i w:val="false"/>
          <w:color w:val="000000"/>
          <w:sz w:val="28"/>
        </w:rPr>
        <w:t>услуг) субъекта регулируемого рынка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нефтепродуктов и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26"/>
        <w:gridCol w:w="1485"/>
        <w:gridCol w:w="1075"/>
        <w:gridCol w:w="1560"/>
        <w:gridCol w:w="1262"/>
        <w:gridCol w:w="1131"/>
        <w:gridCol w:w="1168"/>
        <w:gridCol w:w="1393"/>
        <w:gridCol w:w="136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производства (реализации)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 (без НДС)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602"/>
        <w:gridCol w:w="1025"/>
        <w:gridCol w:w="1863"/>
        <w:gridCol w:w="1584"/>
        <w:gridCol w:w="1193"/>
        <w:gridCol w:w="1547"/>
        <w:gridCol w:w="1621"/>
        <w:gridCol w:w="11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доходности от производства (реализации)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информация при необходимости может быть расширена или дополнена субъектом регулируемого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для субъектов регулируемого рынка, осуществляющих реализацию нефтепродуктов информацию необходимо указать в разрезе марок реализуемых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для субъектов регулируемого рынка, осуществляющих реализацию нефтепродуктов и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