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3a1" w14:textId="0657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любительского (спортивного) рыболовства в охранной зоне Маркакольского государственного природного заповедника, для нужд местного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2010 года № 289. Зарегистрирован в Министерстве юстиции Республики Казахстан 25 мая 2010 года № 6250. Утратил силу приказом Министра сельского хозяйства Республики Казахстан от 5 октября 2012 года № 17-03/504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05.10.2012 </w:t>
      </w:r>
      <w:r>
        <w:rPr>
          <w:rFonts w:ascii="Times New Roman"/>
          <w:b w:val="false"/>
          <w:i w:val="false"/>
          <w:color w:val="ff0000"/>
          <w:sz w:val="28"/>
        </w:rPr>
        <w:t>№ 17-03/504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любительского (спортивного) рыболовства в охранной зоне Маркакольского государственного природного заповедника, для нужд местного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Марата Аблахатовича.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Куришбаев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2010 года № 289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любительского (спортивного) рыболовства в охранной зоне</w:t>
      </w:r>
      <w:r>
        <w:br/>
      </w:r>
      <w:r>
        <w:rPr>
          <w:rFonts w:ascii="Times New Roman"/>
          <w:b/>
          <w:i w:val="false"/>
          <w:color w:val="000000"/>
        </w:rPr>
        <w:t>
Маркакольского государственного природного заповедника, для</w:t>
      </w:r>
      <w:r>
        <w:br/>
      </w:r>
      <w:r>
        <w:rPr>
          <w:rFonts w:ascii="Times New Roman"/>
          <w:b/>
          <w:i w:val="false"/>
          <w:color w:val="000000"/>
        </w:rPr>
        <w:t>
нужд местного населения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любительского (спортивного) рыболовства в охранной зоне Маркакольского государственного природного заповедника, для нужд местного населения (далее - Правила), разработаны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регламентируют порядок организации и проведения любительского (спортивного) рыболовства в охранной зоне Маркакольского государственного природного заповедника (далее - заповедник), для нужд местного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Любительское (спортивное) рыболовство в заповеднике организуется администрацией заповедника на специально выделенных участках,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Любительское (спортивное) рыболовство на специально выделенных участках проводится с 1 февраля по 31 декабря, кроме периода нереста ценных видов рыб с 1 мая по 1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особо охраняемых природных территорий и/или его территориальные органы по согласованию с научными организациями, принимают решение о переносе начала рыболовства на более ранний или поздний срок, но не более 15 календарных дней в пределах общей продолжительности срока рыболовства.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любительского (спортивного) рыболовства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Любительское (спортивное) рыболовство осуществляется при наличии у рыболова документов, удостоверяющих личность и путевки на любительское (спортивное) рыболовство (далее - путевка).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Путевку и корешок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администрация заповедника и регистрирует в пронумерованном, прошнурованном и опечатанной печатью администрацией заповедника журнале выдачи путевок на проведение любительского (спортивного) рыболовства,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Путевки нумеруются и являются документом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Путевка выдается при наличии справки с места жительства, выдаваемой акимом сельского округа и документов, подтверждающих внесение платы за пользование животным миром и платы за использование особо охраняемых природных территорий по ставкам,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Путевка выдается на срок до 7 дней, объем вылова рыбы на одну путевку не более 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Утерянная и неиспользованная путевка восстановлению и продлению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Рыболов перед началом любительского (спортивного) рыболовства представляет необходимые документы для регистрации на контрольном пункте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Специально выделенные участки любительского (спортивного) рыболовства обозначаются на местности указательными знаками с информацией о местах любительского (спортивного)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Любительское (спортивное) рыболовство производится удочками с крючками не более 5 на одного рыболова, всех систем и наименований (блесна, кармак, жерлицы, спиннинги).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Рыболов вносит сведения о количестве и видах выловленной рыбы, заполняя соответствующие графы таблицы на оборотной стороне путевки,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Улов рыболова предъявляется на контрольном пункте государственному инспектору заповедника, который проверяет достоверность сведений, внесенных в путевку и удостоверяет подписью. Данная отметка является основанием для провоза выловленной рыбы.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любительского (спортивного)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 в охранной зоне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Маркакольского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природного заповедника, для нужд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населения       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специально выделенных участков в охранной зоне</w:t>
      </w:r>
      <w:r>
        <w:br/>
      </w:r>
      <w:r>
        <w:rPr>
          <w:rFonts w:ascii="Times New Roman"/>
          <w:b/>
          <w:i w:val="false"/>
          <w:color w:val="000000"/>
        </w:rPr>
        <w:t>
Маркакольского государственного природного заповедника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любительского (спортивного) рыболовства,</w:t>
      </w:r>
      <w:r>
        <w:br/>
      </w:r>
      <w:r>
        <w:rPr>
          <w:rFonts w:ascii="Times New Roman"/>
          <w:b/>
          <w:i w:val="false"/>
          <w:color w:val="000000"/>
        </w:rPr>
        <w:t>
для нужд местного населения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1</w:t>
      </w:r>
      <w:r>
        <w:rPr>
          <w:rFonts w:ascii="Times New Roman"/>
          <w:b w:val="false"/>
          <w:i w:val="false"/>
          <w:color w:val="000000"/>
          <w:sz w:val="28"/>
        </w:rPr>
        <w:t>. Рыболовная зона располагается у села Урунхайка восточнее линии, проходящей от границы южного участка заповедника - урочище Жукова пасека и на северо-восток до восточной границы у устья реки Тихушка.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2</w:t>
      </w:r>
      <w:r>
        <w:rPr>
          <w:rFonts w:ascii="Times New Roman"/>
          <w:b w:val="false"/>
          <w:i w:val="false"/>
          <w:color w:val="000000"/>
          <w:sz w:val="28"/>
        </w:rPr>
        <w:t>. Рыболовная зона располагается у села Матобай. Западная граница участка примыкает к побережью озера Маркаколь в точке - Матобайский мыс, восточная - к устью реки Третий ключ.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3</w:t>
      </w:r>
      <w:r>
        <w:rPr>
          <w:rFonts w:ascii="Times New Roman"/>
          <w:b w:val="false"/>
          <w:i w:val="false"/>
          <w:color w:val="000000"/>
          <w:sz w:val="28"/>
        </w:rPr>
        <w:t>. Рыболовная зона располагается у села Карагайлыбулак (Нижняя Еловка). Восточная граница примыкает к устью реки Карагайлыбулак (Нижняя Еловка), западная - к устью крайней западной протоки реки Коктерек.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4</w:t>
      </w:r>
      <w:r>
        <w:rPr>
          <w:rFonts w:ascii="Times New Roman"/>
          <w:b w:val="false"/>
          <w:i w:val="false"/>
          <w:color w:val="000000"/>
          <w:sz w:val="28"/>
        </w:rPr>
        <w:t>. Рыболовная зона располагается у села Верхняя Еловка. Западная граница примыкает к устью реки Верхняя Еловка, восточная - к мысу Верхняя Еловка.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 (спортивного)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 в охранной зоне Маркакольского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природного заповедника,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 местного населения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Путевка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любительского (спортивного) рыболовства в</w:t>
      </w:r>
      <w:r>
        <w:br/>
      </w:r>
      <w:r>
        <w:rPr>
          <w:rFonts w:ascii="Times New Roman"/>
          <w:b/>
          <w:i w:val="false"/>
          <w:color w:val="000000"/>
        </w:rPr>
        <w:t>
охранной зоне Маркакольского государственного природного</w:t>
      </w:r>
      <w:r>
        <w:br/>
      </w:r>
      <w:r>
        <w:rPr>
          <w:rFonts w:ascii="Times New Roman"/>
          <w:b/>
          <w:i w:val="false"/>
          <w:color w:val="000000"/>
        </w:rPr>
        <w:t>
заповедника, для нужд местного населения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7"/>
        <w:gridCol w:w="4389"/>
        <w:gridCol w:w="4504"/>
      </w:tblGrid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"Маркакольский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_______ (кг)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 (вид,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получил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ознакомлен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(Ф.И.О.,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рыболова)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выдал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(подпись)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"Маркакольский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__________ (кг)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 (вид,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 20____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ГПЗ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госинспектор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транспорта и вылов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при выезде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ГПЗ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госинспектор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(подпись)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вылове рыбы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9"/>
              <w:gridCol w:w="1120"/>
              <w:gridCol w:w="2051"/>
            </w:tblGrid>
            <w:tr>
              <w:trPr>
                <w:trHeight w:val="3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рыбы</w:t>
                  </w:r>
                </w:p>
              </w:tc>
              <w:tc>
                <w:tcPr>
                  <w:tcW w:w="2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(подпись)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 (спортивного)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 в охранной зоне Маркакольского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природного заповедника,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 местного населения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выдачи путевок на проведение любительского (спортивного)</w:t>
      </w:r>
      <w:r>
        <w:br/>
      </w:r>
      <w:r>
        <w:rPr>
          <w:rFonts w:ascii="Times New Roman"/>
          <w:b/>
          <w:i w:val="false"/>
          <w:color w:val="000000"/>
        </w:rPr>
        <w:t>
рыболовства в охранной зоне Маркакольского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природного заповедника, для нужд местного населения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33"/>
        <w:gridCol w:w="1426"/>
        <w:gridCol w:w="1357"/>
        <w:gridCol w:w="1172"/>
        <w:gridCol w:w="1172"/>
        <w:gridCol w:w="1334"/>
        <w:gridCol w:w="802"/>
        <w:gridCol w:w="408"/>
        <w:gridCol w:w="941"/>
        <w:gridCol w:w="1172"/>
        <w:gridCol w:w="918"/>
        <w:gridCol w:w="1243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