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c08d" w14:textId="c2dc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нарушения трудового законодательства Республики Казахстан участниками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деятельности регионального финансового центра города Алматы от 2 марта 2010 года № 04.2-40/53 и Министра экономики и бюджетного планирования Республики Казахстан от 2 марта 2010 года № 115. Зарегистрирован в Министерстве юстиции Республики Казахстан 11 марта 2010 года № 6119. Утратил силу постановлением Правления Национального Банка Республики Казахстан от 30 сентября 2011 года № 156 и приказом Министра экономического развития и торговли Республики Казахстан от 1 декабря 2011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30.09.2011 № 156 и приказом Министра экономического развития и торговли РК от 01.12.2011 № 372 (вводятся в действие по истечении десяти календарных дней со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№ 124 "О частном предпринимательстве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нарушения трудового законодательства Республики Казахстан участниками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Агентства Республики Казахстан по регулированию деятельности регионального финансового центра города Алматы (Турысбеков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Агентства Республики Казахстан по регулированию деятельности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деятельности регионального финансового центра города Алматы Нурпеисова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 по регулированию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деятельности регионального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А. Арыстанов               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04.2-40/53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115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нарушения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участниками регионального финансового</w:t>
      </w:r>
      <w:r>
        <w:br/>
      </w:r>
      <w:r>
        <w:rPr>
          <w:rFonts w:ascii="Times New Roman"/>
          <w:b/>
          <w:i w:val="false"/>
          <w:color w:val="000000"/>
        </w:rPr>
        <w:t>
центра города Алматы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нарушения трудового законодательства Республики Казахстан участниками регионального финансового центра города Алматы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частного предпринимательства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нарушения безопасности и охраны труда и трудовых прав работников, нарушения порядка привлечения иностранной рабочей силы участниками регионального финансового центра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частного предпринимательства - </w:t>
      </w:r>
      <w:r>
        <w:rPr>
          <w:rFonts w:ascii="Times New Roman"/>
          <w:b w:val="false"/>
          <w:i w:val="false"/>
          <w:color w:val="000000"/>
          <w:sz w:val="28"/>
        </w:rPr>
        <w:t>участник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первоначальном этапе существующие и вновь зарегистрированные участники регионального финансового центра города Алматы включаются в группу с высокой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дальнейшем, с учетом проведенных проверок участники регионального финансового центра города Алматы распределяются по степеням рисков в зависимости от суммы набранных баллов,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отнесении субъектов частного предпринимательства к группам рисков учитываются Критерии - в зависимости от соблюдения трудовых прав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Субъекты частного предпринимательства включаются в план проверок с учетом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 </w:t>
      </w:r>
      <w:r>
        <w:rPr>
          <w:rFonts w:ascii="Times New Roman"/>
          <w:b w:val="false"/>
          <w:i w:val="false"/>
          <w:color w:val="000000"/>
          <w:sz w:val="28"/>
        </w:rPr>
        <w:t>Критериям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в области безопасности и охраны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трудовых прав работников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порядка привлечения иностранной рабочей силы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Критерия по нарушениям в области безопасности и охраны труда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риска, с кратностью плановых проверок один раз в год относятся субъекты частного предпринимательства, получившие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риска, с кратностью плановых проверок один раз в 3 года относятся субъекты частного предпринимательства, получившие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риска, с кратностью плановых проверок один раз в 5 лет относятся субъекты частного предпринимательства,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Критерия по нарушениям трудовых прав работников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 частного предпринимательства, получившие от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 частного предпринимательства, получившие от 7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 частного предпринимательства, получившие до 7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Оценки Критериев нарушения порядка привлечения иностранной рабочей силы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 частного предпринимательства, получившие от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 частного предпринимательства, получившие от 10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 частного предпринимательства,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Учетным периодом для определения указанных Критериев является календарный год, предшествующий году, на который планируются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Периодичность проверок субъектов частного предпринимательства высокой или средней степени риска будет зависеть от количества выявленных нарушений требований трудового законодательства Республики Казахстан с получением возможности быть проверенным значительно реже, чем это установлено базовой кратностью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проверок нарушений и получения более высоких баллов, субъекты частного предпринимательства средней или незначительной степени риска будут переведены соответственно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Принципы определения проверок по группам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наборе баллов только по одной группе риска проверка проводится тематически, то есть только по вопросам, касающихся данной группы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наборе баллов по двум и более группам рисков проверка проводится комплексно по всем вопросам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Приоритетность отбора субъектов частного предпринимательства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показателей по вышеуказанному признаку, в план проверок включается субъект частного предпринимательства, имеющий наибольший не проверенный период.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участниками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7488"/>
        <w:gridCol w:w="869"/>
        <w:gridCol w:w="3022"/>
      </w:tblGrid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рисков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смертельным исходом (от 2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 исходом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со смертельным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исходом (за один факт)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 тяжелым 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факт)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 легким,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исходом (за один факт)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аттестации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 условиям труда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службы охраны труда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работников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 на работе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инструктирования и проверки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обязательных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периодических медицинских осмотров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участниками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6987"/>
        <w:gridCol w:w="1041"/>
        <w:gridCol w:w="3199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рисков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765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работников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и необоснованный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заключения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трудового договора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отпусков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сверхурочным работам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трудового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участниками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5614"/>
        <w:gridCol w:w="1129"/>
        <w:gridCol w:w="4416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705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разрешения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