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648d" w14:textId="07f6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по проверкам памятника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информации Республики Казахстан от 12 февраля 2010 года № 27 и Министра экономики и бюджетного планирования Республики Казахстан от 24 февраля 2010 года № 97. Зарегистрирован в Министерстве юстиции Республики Казахстан 10 марта 2010 года № 6116. Утратил силу совместным приказом Министра культуры и информации Республики Казахстан от 11 ноября 2024 года № 536-НҚ и и.о. Министра национальной экономики Республики Казахстан от 13 ноября 2024 года №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информации РК от 11.11.2024 № 536-НҚ и и.о. Министра национальной экономики РК от 13.11.2024 № 102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проверочного листа памятника истории и культуры.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культуры и информации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информации Республики Казахстан Бурибаева А.И.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действует до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февраля 2010 года №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февраля 2010 года № 97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по проверкам памятника истории и культуры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собственником (пользователем)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памятника истории и культуры и порядка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собственника (пользователя) 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обязательств на памятник истории 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собственника (пользователя) охранной доски,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основные данные о памятнике истории и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 том, что охраняется государством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на каждый памятник истории 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государственного органа о предоставлении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памятника истории 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охранных зон, зон регулирования застройки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охраняемого природного ландшафта на объектах истории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вокруг памятника истории и культуры отмечается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охранными знаками или распаханной полосой, или ограждениями,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кустарниковыми насаждениями по линии их границ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повреждения либо изменения исторического,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архитектурно-художественного облика памятника истории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которое возможно устранить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проведения каких-либо работ в границах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зон, зон регулирования застройки и зон охраняемого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ландшафта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от уничтожения, перемещения,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вандализма, фальсификации, мистификации, искажения, изъятия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исторического контекста памятника истории 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 памятника истории и культуры или его фрагментов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повреждения либо изменения исторического,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архитектурно-художественного облика памятника истории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которое невозможно устранить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с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научно-проектной документации на все виды 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памятникам истории и культуры и их охранным зонам, проекты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планировки, застройки и реконструкции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без 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всех видов работ, создающих угрозу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существования памятника истории 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проектных, изыскательских, строительных,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мелиоративных, дорожных и других видов работ, которые могут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угрозу для существования памятников истории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Дата окончания проверки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____________    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(должность)             (подпись)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____________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(должность)             (подпись)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частного предпринимательства,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(Ф.И.О., должность)           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