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6462" w14:textId="5b66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в области защиты прав интеллектуальной собственности и формы проверочного листа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18 февраля 2010 года № 50 и Министра экономики и бюджетного планирования Республики Казахстан от 24 февраля 2010 года № 93. Зарегистрирован в Министерстве юстиции Республики Казахстан 23 февраля 2010 года № 6088. Утратил силу совместным приказом Министра юстиции Республики Казахстан от 10 марта 2011 года № 96 и Министра экономического развития и торговли Республики Казахстан от 14 марта 2011 года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10.03.2011 № 96 и Министра экономического развития и торговли РК от 14.03.2011 № 53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совместного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"О частном предпринимательстве"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рисков в области защиты прав интеллектуальной собственности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проверочного листа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правам интеллектуальной собственности Министерства юстиции Республики Казахстан (Абдрахим Н.Е.):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Интернет-ресурсе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юстиции Республики Казахстан Бекетаева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экономики и              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Б. Султанов                 ___________ Р. Тусупбеков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Совместному приказу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2010 года № 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2010 года № 50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</w:t>
      </w:r>
      <w:r>
        <w:br/>
      </w:r>
      <w:r>
        <w:rPr>
          <w:rFonts w:ascii="Times New Roman"/>
          <w:b/>
          <w:i w:val="false"/>
          <w:color w:val="000000"/>
        </w:rPr>
        <w:t>
оценки степени рисков в области защиты прав</w:t>
      </w:r>
      <w:r>
        <w:br/>
      </w:r>
      <w:r>
        <w:rPr>
          <w:rFonts w:ascii="Times New Roman"/>
          <w:b/>
          <w:i w:val="false"/>
          <w:color w:val="000000"/>
        </w:rPr>
        <w:t>
интеллектуальной собственности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Критерии оценки степени рисков в области защиты прав интеллектуальной собственности разработаны для проведения плановых проверок субъектов, использующих объекты интеллектуальной собственности (далее - субъекты).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используется следующее понятие: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риск - вероятность причинения вреда в результате деятельности субъектов имущественным интересам авторов, исполнителей, производителей фонограмм и иных правообладателей путем неуплаты им причитающихся вознаграждений с учетом степени тяжести его последствий.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рисков деятельности субъектов проводится с учетом значимости субъекта с точки зрения тяжести последствий, отраслевой статистики нарушений законодательства в области интеллектуальной собственности, а также результатов внеплановых проверок,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первичное отнесение субъектов по степеням риска осуществляется с учетом значимости субъекта с точки зрения тяжести последствий на основании количественных показателей деятельности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вторичное отнесение субъектов по степеням риска осуществляется с учетом отраслевой статистики нарушений законодательства в области интеллектуальной собственности, результатов внеплановых проверок в соответствии с качественными показателями риска от деятельности субъектов.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Распределение субъектов по значимости: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значимости субъектов с высокой степенью риска относятся организации эфирного и кабельного вещания и операторы спутникового телевидения;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значимости субъектов со средней степенью риска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театры, филармонии, кинотеатры, концертные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организации, управляющие имущественными правами на коллективной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незначительной степени значимости субъектов с незначительной степенью риска относятся периодические печатные издания, издательства.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Очередность первичных плановых проверок устанавливается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высокой степени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договоров с правообладателями, либо с организацией, управляющей имущественными правами на коллективной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наибольшее количество абонентов или территория охвата;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средней степени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театров, филармоний, кинотеатров, концертных залов и других субъектов: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договоров с правообладателями, либо с организацией, управляющей имущественными правами на коллективной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наибольшее количество посадочных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организаций, управляющих имущественными правами на коллективной основе: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наименьшее количество заключенных договоров на управление имущественными правами;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незначительной степени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наибольшее количество тиража;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наибольшая территория распространения.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вторичном отнесении субъектов по степеням риска субъекты перераспределяются в зависимости от качественных критериев оценки степени рисков в области защиты прав интеллектуальной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 целью применения качественных критериев оценки степени рисков, используются данные отраслевой статистики нарушений законодательства в области интеллектуальной собственности, результаты проверок, а также сведения организаций, управляющих имущественными правами на коллективной основе о заключенных лицензионных договорах на использование объектов интеллектуальной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зависимости от качественных критериев оценки степени рисков субъекты переходят в высокий, средний или незначительный уровни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Качественные критерии оцениваются в баллах: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использование объектов авторского права и смежных прав без договора с правообладателем - 3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изготовление, распространение, сдача в прокат, предоставление во временное пользование, импорт, рекламу любого устройства или его компонентов, их использование в целях получения дохода либо оказание услуг в случаях, если в результате таких действий становится невозможным использование технических средств защиты авторского права и смежных прав либо эти технические средства не могут обеспечить надлежащую защиту указанных прав - 2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без разрешения автора или иного правообладателя действий, направленных на снятие ограничений использования произведений или объектов смежных прав, установленных путем применения технических средств защиты авторского права и смежных прав - 1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удаление или изменение без разрешения автора или иного правообладателя информации об управлении правами - 1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воспроизведение, распространение, импорт в целях распространения, публичное исполнение, сообщение для всеобщего сведения по кабелю или передача в эфир, доведение до всеобщего сведения произведений или объектов смежных прав, в отношении которых без разрешения автора или иного правообладателя была удалена или изменена информация об управлении имущественными правами - 1 балл.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 высокой степени риска относятся субъекты, набравшие более 2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средней степени риска относятся субъекты, набравшие 2 балла.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незначительной степени риска относятся субъекты, набравшие 1 балл.</w:t>
      </w:r>
    </w:p>
    <w:bookmarkEnd w:id="3"/>
    <w:bookmarkStart w:name="z5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Совместному приказу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2010 года № 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2010 года № 50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5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 юстиции, назначивший проверку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физического лица или наименование субъекта, использующего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объекты интеллектуальной собственности 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4938"/>
        <w:gridCol w:w="1329"/>
        <w:gridCol w:w="1130"/>
        <w:gridCol w:w="2825"/>
        <w:gridCol w:w="2107"/>
      </w:tblGrid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правообладателями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купли-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продажи, накладных,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квитанции, подтверждение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авторам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правообладателям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поименного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переданы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(приложение к 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товарные накладные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зависимости от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договора)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(экземпляров)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правообладателей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договора)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