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7d1f" w14:textId="3237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и минеральных ресурсов Республики Казахстан от 15 февраля 2010 года № 30 и Министра экономики и бюджетного планирования Республики Казахстан от 18 февраля 2010 года № 72. Зарегистрирован в Министерстве юстиции Республики Казахстан 20 февраля 2010 года № 6078. Утратил силу совместным приказом и.о. Министра индустрии и новых технологий Республики Казахстан от 27 сентября 2011 года № 349 и и.о. Министра экономического развития и торговли Республики Казахстан от 1 октября 2011 года №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новых технологий РК от 27.09.2011 № 349 и и.о. Министра экономического развития и торговли РК от 01.10.2011 № 324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31 января 2006 года "О частном предпринимательстве",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энергетики и минеральных ресурсов Республики Казахстан (Ужкенов Б.С.)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и минеральных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энергетики и минеральных ресурсов Республики Казахстан Сафинова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экономики и             И.о. Министра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Султанов      _____________ Д. Турганов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2010 года № 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И.о. Министра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2010 года № 30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в сфере недропользования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недропользования (далее - Критерии) разработаны в соответствии с Законами Республики Казахстан от 27 января 1996 года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 и от 31 января 2006 года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уполномоченным органом по изучению и использованию недр субъектов, осуществляющих деятельность в сфере недропользования, по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сфере недропользования - вероятность причинения вреда состоянию недр, минерально-сырьевой базе в результате деятельности субъектов в сфере недропользования с учетом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 контроля в сфере недропользования - недропользователь, обладающий правом на проведение операций по недропользованию по отдельному контракту.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рисков и распределение субъектов контроля в сфере</w:t>
      </w:r>
      <w:r>
        <w:br/>
      </w:r>
      <w:r>
        <w:rPr>
          <w:rFonts w:ascii="Times New Roman"/>
          <w:b/>
          <w:i w:val="false"/>
          <w:color w:val="000000"/>
        </w:rPr>
        <w:t>
недропользования по категориям риска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рисков в сфере недропользования осуществляется путем первичного и последующего распределения субъектов контроля в сфере недропользования по категориям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первичном распределении, субъекты контроля в сфере недропользования подразделяются на 3 категории рисков: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1 категории - высокой степени риска относятся следующие субъекты контроля в сфере недропользования: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добыче твердых полезных ископаемых,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добыче подземных вод для водоснабжения областных центров и крупных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2 категории - средней степени риска относятся следующие субъекты контроля в сфере недропользования: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разведке твердых полезных ископаемых,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разведке и добыче общераспространенных полезных ископаемых и подземных вод, за исключением крупных;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3 категории - незначительной степени риска относятся следующие субъекты контроля в сфере недропользования: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разведке и добыче подземных вод для водообеспечения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строительству и (или) эксплуатации подземных сооружений, не связанных с разведкой и (или) добычей.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последующем распределении субъектов контроля в сфере недропользования, каждому субъекту присваиваются соответствующие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плановых объемов добычи: до 50 %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50 % до 70 % - 15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70 % до 90 %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90 % до 95 %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плановых объемов вскрыши: до 50 %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50 % до 70 % - 15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70 % до 90 %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90 % до 95 %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Календарного графика разработки месторождения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работ в несогласованных направлениях и объемах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нормативов потерь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достоверного учета добычи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программ утилизации газа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сверхнормативное сжигание газа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фонда скважин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объемов закачки рабочего агента (воды, газа) для поднятия пластового давления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работ по обустройству месторождения согласно проекта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технического состояния скважин при строительстве и эксплуатации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графика проведения геологоразведочных работ согласно Рабочей программы и проектов разведки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объемов исследовательских работ при пробной эксплуатации объекта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непроведение мониторинга подземных вод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первичного учета водоотбора на водозаборных сооружениях - 5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набравшие: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80 баллов будут отнесены к 1-ой категории - высокого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30 до 80 баллов ко 2-ой категории - среднего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30 баллов к 3-ей категории -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период деятельности, субъекты контроля в сфере недропользования при допущении нарушений могут переходить из категории низкой степени риска в более высокую степень риска и обратно, с соответствующей кратностью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Очередность проведения проверок внутри одной группы риска будет определяться: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объемам добычи;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наибольшей сумме набранных баллов.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