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510" w14:textId="df7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лицензий на проектно-изыскательскую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строительства и жилищно-коммунального хозяйства от 4 ноября 2010 года № 486 и и.о. Министра охраны окружающей среды Республики Казахстан от 5 ноября 2010 года № 283-ө. Зарегистрирован в Министерстве юстиции Республики Казахстан 13 декабря 2010 года № 6677. Утратил силу совместным приказом Министра индустрии и инфраструктурного развития Республики Казахстан от 12 июня 2019 года № 390 и Министра энергетики Республики Казахстан от 14 июня 2019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12.06.2019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14.06.2019 № 220.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лицензий на проектно-изыскательскую деятельность".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совместного приказа обеспечить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Председателя Агентства Республики Казахстан по делам строительства и жилищно-коммунального хозяйства Тихонюк Н.П. и вице-министра охраны окружающей среды Республики Казахстан Садвакасову Э.М.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 регистрации в Министерстве юстиции Республики Казахстан.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охраны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Турмагамбетов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Нокин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2010 года №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 № 283-ө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лицензий на проектно-изыскательскую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лицензий на проектно-изыскательскую деятельность"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лицензий на проектно-изыскательскую деятельность (далее – государственная услуга) – процедура выдачи права физическому или юридическому лицу (далее - потребители) на занятие проектно-изыскательской деятельностью.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 (далее - Центр) и Управления государственного архитектурно-строительного контроля акиматов областей, городов Астаны и Алматы (далее – уполномоченный орган).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"Об утверждении стандартов государственных услуг и внесении дополнения в постановление Правительства Республики Казахстан от 20 июля 2010 года № 745".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лицензии на осуществление проектно-изыскательской деятельности или мотивированный отказ в ее выдаче на бумажном носителе.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органы в области охраны окружающей среды, степень участия – заключение на лицензируемые виды работ (далее – заинтересованный орган).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Информацию по вопросам оказания государственной услуги, а также о ходе оказания государственной услуги можно получить в Центре и уполномоченном органе, адреса и графики работ которых, указаны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 на проектно-изыскательскую деятельность", утвержденного постановлением Правительства Республики Казахстан от 7 октября 2010 года № 1036 (далее – Стандарт).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заинтересованных органов: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заинтересованных органах проводится рассмотрение направленных запросов уполномоченного органа, определение соответствия или несоответствия потребителя предъявляемым требованиям в курируемой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запросов направляются в виде заключения в уполномоченный орган.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ограничений по времени при оказании государственной услуги.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подачи потребителем заявления (день приема и день выдачи документов не входит в срок оказания государственной услуги) составляют: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малого предпринимательства – десять рабочих дней;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среднего и крупного предпринимательства – тридцать рабочих дней.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30 минут;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в очереди при получении документов – не более 30 минут;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заинтересованных органов для субъекта малого предпринимательства представляются в уполномоченный орган в течение 7 рабочих дней;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заинтересованных органов для субъектов крупного и среднего предпринимательства представляются в уполномоченный орган в течение 25 рабочих дней.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сведений и документов, указанных в пункте 15 настоящего Регламента. При устранении заявителем указанных препятствий заявление рассматривается на общих основаниях;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проектно-изыскательской деятельностью;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квалификационным требованиям;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вступивший в законную силу приговор суда, запрещающий заявителю заниматься данным видом деятельности.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заявителя от потребителя для получения государственной услуги и до момента выдачи результата государственной услуги: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лицензировании в Центр;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осуществляет рассмотрение представленных заявлений из Центра или от потребителей при подаче заявлений напрямую, направляет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№ 1894, запросы в заинтересованные органы, подготавливает мотивированный отказ или оформляет лицензию на осуществление проектно-изыскательской деятельности, направляет результат оказания государственной услуги в Центр или выдает заявителю в случае подачи заявления в Уполномоченный орган;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запросы уполномоченного органа о соответствии потребителя предъявляемым требованиям в соответствующей области, направляет заключения в уполномоченный орган.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Центре осуществляется посредством "окон", на которых указывается фамилия, имя, отчество и должность инспектора Центра по адресам и времени, указанным в приложении 1 Стандарта.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канцелярию уполномоченного органа по адресам и времени, указанным в приложении 2 Стандарта.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либо сотрудника уполномоченного органа, принявшего заявление на оформление документов.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потребители предоставляют в Центр или уполномоченный орган: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по установленной форме для юридического и физического лица, согласно приложениям 12 и 13 Стандарта;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Устава и свидетельства о государственной регистрации заявителя в качестве юридического лица – для юридического лица;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– для физического лица;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свидетельства о государственной регистрации заявителя в качестве индивидуального предпринимателя – для индивидуального предпринимателя;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свидетельства о постановке заявителя на учет в налоговом органе;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уплату в бюджет лицензионного сбора за право занятия отдельными видами деятельности – 10 месячных расчетных показателей, уплачивается в бюджет по месту нахождения потребителя;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требованиями, согласно приложению 3 Стандарта.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 отсутствуют.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юридическая служба уполномоченного органа;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заинтересованный орган.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предоставляется в форме выдачи лицензии или отказа в выдаче лицензии.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лицензии оформляется в письменной форме на бумажном носителе с указанием мотивированной причины отказа.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изыскательскую деятельность" </w:t>
            </w:r>
          </w:p>
        </w:tc>
      </w:tr>
    </w:tbl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455"/>
        <w:gridCol w:w="3135"/>
        <w:gridCol w:w="3143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реестр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086"/>
        <w:gridCol w:w="2589"/>
        <w:gridCol w:w="2590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рассмотрения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73"/>
        <w:gridCol w:w="3684"/>
        <w:gridCol w:w="3878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 лицензирования)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начальнику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заключения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службе, передача запроса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15"/>
        <w:gridCol w:w="3397"/>
        <w:gridCol w:w="4007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служба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приказа,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в 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15"/>
        <w:gridCol w:w="3397"/>
        <w:gridCol w:w="4007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лицензии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бланка лицензии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оформленной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 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подписанного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411"/>
        <w:gridCol w:w="4003"/>
        <w:gridCol w:w="3405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 заявителям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передача в Центры,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органы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или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в Центр, штамп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сдачу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434"/>
        <w:gridCol w:w="5681"/>
        <w:gridCol w:w="59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 области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рабочих дней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2246"/>
        <w:gridCol w:w="2246"/>
        <w:gridCol w:w="2246"/>
        <w:gridCol w:w="1658"/>
        <w:gridCol w:w="165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лицензий на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изыскательскую деятельность" </w:t>
            </w:r>
          </w:p>
        </w:tc>
      </w:tr>
    </w:tbl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Схемы,</w:t>
      </w:r>
      <w:r>
        <w:br/>
      </w:r>
      <w:r>
        <w:rPr>
          <w:rFonts w:ascii="Times New Roman"/>
          <w:b/>
          <w:i w:val="false"/>
          <w:color w:val="000000"/>
        </w:rPr>
        <w:t>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последовательностью административных действий 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