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f318" w14:textId="c78f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 сентября 2010 года № 146. Зарегистрировано в Министерстве юстиции Республики Казахстан 13 октября 2010 года № 6560. Утратило силу постановлением Правления Национального Банка Республики Казахстан от 26 декабря 2016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в Собрании актов центральных исполнительных и иных центральных государственных органов Республики Казахстан от 15 ноября 2008 года № 11) следующие дополнения и изменения:</w:t>
      </w:r>
    </w:p>
    <w:bookmarkEnd w:id="1"/>
    <w:bookmarkStart w:name="z3" w:id="2"/>
    <w:p>
      <w:pPr>
        <w:spacing w:after="0"/>
        <w:ind w:left="0"/>
        <w:jc w:val="both"/>
      </w:pPr>
      <w:r>
        <w:rPr>
          <w:rFonts w:ascii="Times New Roman"/>
          <w:b w:val="false"/>
          <w:i w:val="false"/>
          <w:color w:val="000000"/>
          <w:sz w:val="28"/>
        </w:rPr>
        <w:t xml:space="preserve">
      наименование и </w:t>
      </w:r>
      <w:r>
        <w:rPr>
          <w:rFonts w:ascii="Times New Roman"/>
          <w:b w:val="false"/>
          <w:i w:val="false"/>
          <w:color w:val="000000"/>
          <w:sz w:val="28"/>
        </w:rPr>
        <w:t>пункт 1</w:t>
      </w:r>
      <w:r>
        <w:rPr>
          <w:rFonts w:ascii="Times New Roman"/>
          <w:b w:val="false"/>
          <w:i w:val="false"/>
          <w:color w:val="000000"/>
          <w:sz w:val="28"/>
        </w:rPr>
        <w:t xml:space="preserve"> после слова "организации," дополнить словами "норматива достаточности маржи платежеспособности страховой группы,";</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утвержденной указанным постановлением:</w:t>
      </w:r>
    </w:p>
    <w:bookmarkEnd w:id="3"/>
    <w:bookmarkStart w:name="z5" w:id="4"/>
    <w:p>
      <w:pPr>
        <w:spacing w:after="0"/>
        <w:ind w:left="0"/>
        <w:jc w:val="both"/>
      </w:pPr>
      <w:r>
        <w:rPr>
          <w:rFonts w:ascii="Times New Roman"/>
          <w:b w:val="false"/>
          <w:i w:val="false"/>
          <w:color w:val="000000"/>
          <w:sz w:val="28"/>
        </w:rPr>
        <w:t>
      наименование и часть первую преамбулы после слова "организации," дополнить словами "норматива достаточности маржи платежеспособности страховой группы,";</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абзац шестой части первой изложить в следующей редакции:</w:t>
      </w:r>
    </w:p>
    <w:bookmarkEnd w:id="6"/>
    <w:bookmarkStart w:name="z8" w:id="7"/>
    <w:p>
      <w:pPr>
        <w:spacing w:after="0"/>
        <w:ind w:left="0"/>
        <w:jc w:val="both"/>
      </w:pPr>
      <w:r>
        <w:rPr>
          <w:rFonts w:ascii="Times New Roman"/>
          <w:b w:val="false"/>
          <w:i w:val="false"/>
          <w:color w:val="000000"/>
          <w:sz w:val="28"/>
        </w:rPr>
        <w:t xml:space="preserve">
      "СР - сумма страховых резервов страховой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61 "Об утверждении Требований к формированию, методике расчета страховых резервов и их структуре, форм и срока представления отчетности по страховым резервам" (зарегистрированным в Реестре государственной регистрации нормативных правовых актов под № 6293). Сумма страховых резервов используется до дня предоставления ежемесячной финансовой отчетности в уполномоченный орган.";</w:t>
      </w:r>
    </w:p>
    <w:bookmarkEnd w:id="7"/>
    <w:bookmarkStart w:name="z9" w:id="8"/>
    <w:p>
      <w:pPr>
        <w:spacing w:after="0"/>
        <w:ind w:left="0"/>
        <w:jc w:val="both"/>
      </w:pPr>
      <w:r>
        <w:rPr>
          <w:rFonts w:ascii="Times New Roman"/>
          <w:b w:val="false"/>
          <w:i w:val="false"/>
          <w:color w:val="000000"/>
          <w:sz w:val="28"/>
        </w:rPr>
        <w:t>
      часть третью исключить;</w:t>
      </w:r>
    </w:p>
    <w:bookmarkEnd w:id="8"/>
    <w:bookmarkStart w:name="z10" w:id="9"/>
    <w:p>
      <w:pPr>
        <w:spacing w:after="0"/>
        <w:ind w:left="0"/>
        <w:jc w:val="both"/>
      </w:pPr>
      <w:r>
        <w:rPr>
          <w:rFonts w:ascii="Times New Roman"/>
          <w:b w:val="false"/>
          <w:i w:val="false"/>
          <w:color w:val="000000"/>
          <w:sz w:val="28"/>
        </w:rPr>
        <w:t>
      дополнить пунктами 33-1, 33-2 и 33-3 следующего содержания:</w:t>
      </w:r>
    </w:p>
    <w:bookmarkEnd w:id="9"/>
    <w:bookmarkStart w:name="z11" w:id="10"/>
    <w:p>
      <w:pPr>
        <w:spacing w:after="0"/>
        <w:ind w:left="0"/>
        <w:jc w:val="both"/>
      </w:pPr>
      <w:r>
        <w:rPr>
          <w:rFonts w:ascii="Times New Roman"/>
          <w:b w:val="false"/>
          <w:i w:val="false"/>
          <w:color w:val="000000"/>
          <w:sz w:val="28"/>
        </w:rPr>
        <w:t>
      "33-1. В сумму доли перестраховщика в страховых резервах при расчете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пунктом 24 настоящей Инструкции не включается доля перестраховщика в страховых резервах по договорам перестрахования, заключенным со страховыми (перестраховочными) организациями-резидентами Республики Казахстан и страховыми (перестраховочными) организациями-нерезидентами Республики Казахстан, в одном из следующих случаев:</w:t>
      </w:r>
    </w:p>
    <w:bookmarkEnd w:id="10"/>
    <w:bookmarkStart w:name="z12" w:id="11"/>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имеет международную рейтинговую оценку агентства "Standard &amp; Poor's" ниже "B-" или рейтинг аналогичного уровня одного из других рейтинговых агентств, или не имеет рейтинговую оценку данных рейтинговых агентств;</w:t>
      </w:r>
    </w:p>
    <w:bookmarkEnd w:id="11"/>
    <w:bookmarkStart w:name="z13" w:id="12"/>
    <w:p>
      <w:pPr>
        <w:spacing w:after="0"/>
        <w:ind w:left="0"/>
        <w:jc w:val="both"/>
      </w:pPr>
      <w:r>
        <w:rPr>
          <w:rFonts w:ascii="Times New Roman"/>
          <w:b w:val="false"/>
          <w:i w:val="false"/>
          <w:color w:val="000000"/>
          <w:sz w:val="28"/>
        </w:rPr>
        <w:t>
      у перестрахователя (цедента) отсутствует информация о финансовой устойчивости страховой (перестраховочной) организации-нерезидента Республики Казахстан, в том числе финансовая отчетность за последние три финансовых года, предшествующие дате заключения договора перестрахования и информация о соблюдении требований по марже платежеспособности (собственному капиталу) уполномоченного органа страны его регистрации в течение последнего отчетного периода до даты заключения договора перестрахования;</w:t>
      </w:r>
    </w:p>
    <w:bookmarkEnd w:id="12"/>
    <w:bookmarkStart w:name="z14" w:id="13"/>
    <w:p>
      <w:pPr>
        <w:spacing w:after="0"/>
        <w:ind w:left="0"/>
        <w:jc w:val="both"/>
      </w:pPr>
      <w:r>
        <w:rPr>
          <w:rFonts w:ascii="Times New Roman"/>
          <w:b w:val="false"/>
          <w:i w:val="false"/>
          <w:color w:val="000000"/>
          <w:sz w:val="28"/>
        </w:rPr>
        <w:t>
      размер страховой премии по договору факультативного перестрахования на момент передачи страхового риска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bookmarkEnd w:id="13"/>
    <w:bookmarkStart w:name="z15" w:id="14"/>
    <w:p>
      <w:pPr>
        <w:spacing w:after="0"/>
        <w:ind w:left="0"/>
        <w:jc w:val="both"/>
      </w:pPr>
      <w:r>
        <w:rPr>
          <w:rFonts w:ascii="Times New Roman"/>
          <w:b w:val="false"/>
          <w:i w:val="false"/>
          <w:color w:val="000000"/>
          <w:sz w:val="28"/>
        </w:rPr>
        <w:t>
      договор перестрахования, заключенный со страховой (перестраховочной) организацией-нерезидентом Республики Казахстан, является договором факультативного перестрахования, предусматривающим передачу рисков по договору добровольного личного страхования или обязательного страхования, за исключением обязательного страхования работника от несчастных случаев при исполнении им трудовых (служебных) обязанностей и гражданско-правовой ответственности владельцев объектов, деятельность которых связана с опасностью причинения вреда третьим лицам;</w:t>
      </w:r>
    </w:p>
    <w:bookmarkEnd w:id="14"/>
    <w:bookmarkStart w:name="z16" w:id="15"/>
    <w:p>
      <w:pPr>
        <w:spacing w:after="0"/>
        <w:ind w:left="0"/>
        <w:jc w:val="both"/>
      </w:pPr>
      <w:r>
        <w:rPr>
          <w:rFonts w:ascii="Times New Roman"/>
          <w:b w:val="false"/>
          <w:i w:val="false"/>
          <w:color w:val="000000"/>
          <w:sz w:val="28"/>
        </w:rPr>
        <w:t>
      договор перестрахования, заключенный со страховой (перестраховочной) организацией-нерезидентом Республики Казахстан, является договором факультативного перестрахования, предусматривающим передачу рисков по договору обязательного страхования работника от несчастных случаев при исполнении им трудовых (служебных) обязанностей или гражданско-правовой ответственности владельцев объектов, деятельность которых связана с опасностью причинения вреда третьим лицам;</w:t>
      </w:r>
    </w:p>
    <w:bookmarkEnd w:id="15"/>
    <w:bookmarkStart w:name="z17" w:id="16"/>
    <w:p>
      <w:pPr>
        <w:spacing w:after="0"/>
        <w:ind w:left="0"/>
        <w:jc w:val="both"/>
      </w:pPr>
      <w:r>
        <w:rPr>
          <w:rFonts w:ascii="Times New Roman"/>
          <w:b w:val="false"/>
          <w:i w:val="false"/>
          <w:color w:val="000000"/>
          <w:sz w:val="28"/>
        </w:rPr>
        <w:t>
      договор перестрахования предусматривает передачу менее десяти процентов объема ответственности и более пятидесяти процентов страховой премии;</w:t>
      </w:r>
    </w:p>
    <w:bookmarkEnd w:id="16"/>
    <w:bookmarkStart w:name="z18" w:id="17"/>
    <w:p>
      <w:pPr>
        <w:spacing w:after="0"/>
        <w:ind w:left="0"/>
        <w:jc w:val="both"/>
      </w:pPr>
      <w:r>
        <w:rPr>
          <w:rFonts w:ascii="Times New Roman"/>
          <w:b w:val="false"/>
          <w:i w:val="false"/>
          <w:color w:val="000000"/>
          <w:sz w:val="28"/>
        </w:rPr>
        <w:t>
      договор перестрахования, предусматривает передачу страхового риска страховой (перестраховочной) организации-нерезиденту Республики Казахстан, международная рейтинговая оценка которой ниже, либо размер активов или собственного капитала которой меньше, чем у перестрахователя (цедента);</w:t>
      </w:r>
    </w:p>
    <w:bookmarkEnd w:id="17"/>
    <w:bookmarkStart w:name="z19" w:id="18"/>
    <w:p>
      <w:pPr>
        <w:spacing w:after="0"/>
        <w:ind w:left="0"/>
        <w:jc w:val="both"/>
      </w:pPr>
      <w:r>
        <w:rPr>
          <w:rFonts w:ascii="Times New Roman"/>
          <w:b w:val="false"/>
          <w:i w:val="false"/>
          <w:color w:val="000000"/>
          <w:sz w:val="28"/>
        </w:rPr>
        <w:t xml:space="preserve">
      договор перестрахования заключен в противоречие политике перестрахования перестрахователя (цедента), а также положениям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(зарегистрированного в Реестре государственной регистрации нормативных правовых актов под № 6113);</w:t>
      </w:r>
    </w:p>
    <w:bookmarkEnd w:id="18"/>
    <w:bookmarkStart w:name="z20" w:id="19"/>
    <w:p>
      <w:pPr>
        <w:spacing w:after="0"/>
        <w:ind w:left="0"/>
        <w:jc w:val="both"/>
      </w:pPr>
      <w:r>
        <w:rPr>
          <w:rFonts w:ascii="Times New Roman"/>
          <w:b w:val="false"/>
          <w:i w:val="false"/>
          <w:color w:val="000000"/>
          <w:sz w:val="28"/>
        </w:rPr>
        <w:t>
      договор перестрахования содержит условие о получении аффилиированным лицом перестрахователя (цедента) и (или) аффилиированным лицом страхователя, за исключением перестрахователя (цедента)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bookmarkEnd w:id="19"/>
    <w:bookmarkStart w:name="z21" w:id="20"/>
    <w:p>
      <w:pPr>
        <w:spacing w:after="0"/>
        <w:ind w:left="0"/>
        <w:jc w:val="both"/>
      </w:pPr>
      <w:r>
        <w:rPr>
          <w:rFonts w:ascii="Times New Roman"/>
          <w:b w:val="false"/>
          <w:i w:val="false"/>
          <w:color w:val="000000"/>
          <w:sz w:val="28"/>
        </w:rPr>
        <w:t>
      33-2. Для целей настоящей Инструкции договором факультативного перестрахования признается соглашение между перестрахователем (цедентом) и перестраховщиком, в соответствии с условиями которого у перестраховщика возникает обязательство произвести страховую выплату при наступлении страхового случая по договору страхования, на который распространяется страховое покрытие, а перестрахователь (цедент) обязуется уплатить перестраховщику страховую премию, а также исполнять иные обязанности, предусмотренные данным соглашением.</w:t>
      </w:r>
    </w:p>
    <w:bookmarkEnd w:id="20"/>
    <w:bookmarkStart w:name="z22" w:id="21"/>
    <w:p>
      <w:pPr>
        <w:spacing w:after="0"/>
        <w:ind w:left="0"/>
        <w:jc w:val="both"/>
      </w:pPr>
      <w:r>
        <w:rPr>
          <w:rFonts w:ascii="Times New Roman"/>
          <w:b w:val="false"/>
          <w:i w:val="false"/>
          <w:color w:val="000000"/>
          <w:sz w:val="28"/>
        </w:rPr>
        <w:t xml:space="preserve">
      33-3. Для включения доли перестраховщика в страховых резервах по договору факультативного перестрахования, предусматривающего передачу рисков по договору обязательного страхования работника от несчастных случаев при исполнении им трудовых (служебных) обязанностей или гражданско-правовой ответственности владельцев объектов, деятельность которых связана с опасностью причинения вреда третьим лицам, в расчет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настоящей Инструкции, страховая (перестраховочная) организация в течение 3 (трех) рабочих дней со дня его заключения предоставляет в уполномоченный орган уведомление и копию договора факультативного перестрахования, а также письменное обоснование необходимости передачи риска на перестрахование.</w:t>
      </w:r>
    </w:p>
    <w:bookmarkEnd w:id="21"/>
    <w:bookmarkStart w:name="z23" w:id="22"/>
    <w:p>
      <w:pPr>
        <w:spacing w:after="0"/>
        <w:ind w:left="0"/>
        <w:jc w:val="both"/>
      </w:pPr>
      <w:r>
        <w:rPr>
          <w:rFonts w:ascii="Times New Roman"/>
          <w:b w:val="false"/>
          <w:i w:val="false"/>
          <w:color w:val="000000"/>
          <w:sz w:val="28"/>
        </w:rPr>
        <w:t>
      Уведомление, копия договора факультативного перестрахования, а также письменное обоснование необходимости передачи риска на перестрахование рассматривается уполномоченным органом в течение 10 (десяти) рабочих дней со дня представления договора факультативного перестрахования и (или) дополнительных сведений, запрашиваемых уполномоченным органом.</w:t>
      </w:r>
    </w:p>
    <w:bookmarkEnd w:id="22"/>
    <w:bookmarkStart w:name="z24" w:id="23"/>
    <w:p>
      <w:pPr>
        <w:spacing w:after="0"/>
        <w:ind w:left="0"/>
        <w:jc w:val="both"/>
      </w:pPr>
      <w:r>
        <w:rPr>
          <w:rFonts w:ascii="Times New Roman"/>
          <w:b w:val="false"/>
          <w:i w:val="false"/>
          <w:color w:val="000000"/>
          <w:sz w:val="28"/>
        </w:rPr>
        <w:t xml:space="preserve">
      Доля перестраховщика в страховых резервах по договору факультативного перестрахования не включается в расчет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настоящей Инструкции в случае, если:</w:t>
      </w:r>
    </w:p>
    <w:bookmarkEnd w:id="23"/>
    <w:bookmarkStart w:name="z25" w:id="24"/>
    <w:p>
      <w:pPr>
        <w:spacing w:after="0"/>
        <w:ind w:left="0"/>
        <w:jc w:val="both"/>
      </w:pPr>
      <w:r>
        <w:rPr>
          <w:rFonts w:ascii="Times New Roman"/>
          <w:b w:val="false"/>
          <w:i w:val="false"/>
          <w:color w:val="000000"/>
          <w:sz w:val="28"/>
        </w:rPr>
        <w:t>
      заключение договора факультативного перестрахования привело либо приведет к нарушению пруденциальных нормативов страховой (перестраховочной) организации;</w:t>
      </w:r>
    </w:p>
    <w:bookmarkEnd w:id="24"/>
    <w:bookmarkStart w:name="z26" w:id="25"/>
    <w:p>
      <w:pPr>
        <w:spacing w:after="0"/>
        <w:ind w:left="0"/>
        <w:jc w:val="both"/>
      </w:pPr>
      <w:r>
        <w:rPr>
          <w:rFonts w:ascii="Times New Roman"/>
          <w:b w:val="false"/>
          <w:i w:val="false"/>
          <w:color w:val="000000"/>
          <w:sz w:val="28"/>
        </w:rPr>
        <w:t>
      отсутствует обоснование необходимости передачи страхового риска на перестрахование;</w:t>
      </w:r>
    </w:p>
    <w:bookmarkEnd w:id="25"/>
    <w:bookmarkStart w:name="z27" w:id="26"/>
    <w:p>
      <w:pPr>
        <w:spacing w:after="0"/>
        <w:ind w:left="0"/>
        <w:jc w:val="both"/>
      </w:pPr>
      <w:r>
        <w:rPr>
          <w:rFonts w:ascii="Times New Roman"/>
          <w:b w:val="false"/>
          <w:i w:val="false"/>
          <w:color w:val="000000"/>
          <w:sz w:val="28"/>
        </w:rPr>
        <w:t>
      существуют возможности самостоятельного удержания страхового риска страховой организацией.";</w:t>
      </w:r>
    </w:p>
    <w:bookmarkEnd w:id="26"/>
    <w:bookmarkStart w:name="z28" w:id="27"/>
    <w:p>
      <w:pPr>
        <w:spacing w:after="0"/>
        <w:ind w:left="0"/>
        <w:jc w:val="both"/>
      </w:pPr>
      <w:r>
        <w:rPr>
          <w:rFonts w:ascii="Times New Roman"/>
          <w:b w:val="false"/>
          <w:i w:val="false"/>
          <w:color w:val="000000"/>
          <w:sz w:val="28"/>
        </w:rPr>
        <w:t>
      дополнить главой 6-1 следующего содержания:</w:t>
      </w:r>
    </w:p>
    <w:bookmarkEnd w:id="27"/>
    <w:p>
      <w:pPr>
        <w:spacing w:after="0"/>
        <w:ind w:left="0"/>
        <w:jc w:val="both"/>
      </w:pPr>
      <w:r>
        <w:rPr>
          <w:rFonts w:ascii="Times New Roman"/>
          <w:b w:val="false"/>
          <w:i w:val="false"/>
          <w:color w:val="000000"/>
          <w:sz w:val="28"/>
        </w:rPr>
        <w:t>
      "Глава 6-1. Норматив достаточности маржи платежеспособности страховой группы</w:t>
      </w:r>
    </w:p>
    <w:bookmarkStart w:name="z29" w:id="28"/>
    <w:p>
      <w:pPr>
        <w:spacing w:after="0"/>
        <w:ind w:left="0"/>
        <w:jc w:val="both"/>
      </w:pPr>
      <w:r>
        <w:rPr>
          <w:rFonts w:ascii="Times New Roman"/>
          <w:b w:val="false"/>
          <w:i w:val="false"/>
          <w:color w:val="000000"/>
          <w:sz w:val="28"/>
        </w:rPr>
        <w:t xml:space="preserve">
      39-1. Для целей расчета норматива достаточности маржи платежеспособности страховой группы под участниками страховой группы понимаются юридические лица, относящиеся к страховой группе в соответствии с </w:t>
      </w:r>
      <w:r>
        <w:rPr>
          <w:rFonts w:ascii="Times New Roman"/>
          <w:b w:val="false"/>
          <w:i w:val="false"/>
          <w:color w:val="000000"/>
          <w:sz w:val="28"/>
        </w:rPr>
        <w:t>подпунктом 23-2</w:t>
      </w:r>
      <w:r>
        <w:rPr>
          <w:rFonts w:ascii="Times New Roman"/>
          <w:b w:val="false"/>
          <w:i w:val="false"/>
          <w:color w:val="000000"/>
          <w:sz w:val="28"/>
        </w:rPr>
        <w:t>) статьи 3 Закона.</w:t>
      </w:r>
    </w:p>
    <w:bookmarkEnd w:id="28"/>
    <w:bookmarkStart w:name="z30" w:id="29"/>
    <w:p>
      <w:pPr>
        <w:spacing w:after="0"/>
        <w:ind w:left="0"/>
        <w:jc w:val="both"/>
      </w:pPr>
      <w:r>
        <w:rPr>
          <w:rFonts w:ascii="Times New Roman"/>
          <w:b w:val="false"/>
          <w:i w:val="false"/>
          <w:color w:val="000000"/>
          <w:sz w:val="28"/>
        </w:rPr>
        <w:t>
      39-2. Для целей расчета норматива достаточности маржи платежеспособности страховой группы используется неконсолидированная финансовая отчетность участников страховой группы, составленная в соответствии со стандартами финансовой и (или) регуляторной отчетности, используемыми уполномоченным органом страны нахождения участника страховой группы в целях пруденциального регулирования.</w:t>
      </w:r>
    </w:p>
    <w:bookmarkEnd w:id="29"/>
    <w:bookmarkStart w:name="z31" w:id="30"/>
    <w:p>
      <w:pPr>
        <w:spacing w:after="0"/>
        <w:ind w:left="0"/>
        <w:jc w:val="both"/>
      </w:pPr>
      <w:r>
        <w:rPr>
          <w:rFonts w:ascii="Times New Roman"/>
          <w:b w:val="false"/>
          <w:i w:val="false"/>
          <w:color w:val="000000"/>
          <w:sz w:val="28"/>
        </w:rPr>
        <w:t>
      39-3. Фактическая маржа платежеспособности страховой группы представляет собой сумму фактического размера маржи платежеспособности (собственного капитала) родительской организации страховой группы и фактических размеров маржи платежеспособности (собственных капиталов) других участников страховой группы.</w:t>
      </w:r>
    </w:p>
    <w:bookmarkEnd w:id="30"/>
    <w:bookmarkStart w:name="z32" w:id="31"/>
    <w:p>
      <w:pPr>
        <w:spacing w:after="0"/>
        <w:ind w:left="0"/>
        <w:jc w:val="both"/>
      </w:pPr>
      <w:r>
        <w:rPr>
          <w:rFonts w:ascii="Times New Roman"/>
          <w:b w:val="false"/>
          <w:i w:val="false"/>
          <w:color w:val="000000"/>
          <w:sz w:val="28"/>
        </w:rPr>
        <w:t>
      Для целей расчета фактической маржи платежеспособности страховой группы из фактического размера маржи платежеспособности (собственного капитала) участника страховой группы исключаются инвестиции, представляющие собой вложения в уставный капитал юридических лиц, субординированный долг юридических лиц, а также иные вложения в собственный капитал юридических лиц.</w:t>
      </w:r>
    </w:p>
    <w:bookmarkEnd w:id="31"/>
    <w:bookmarkStart w:name="z33" w:id="32"/>
    <w:p>
      <w:pPr>
        <w:spacing w:after="0"/>
        <w:ind w:left="0"/>
        <w:jc w:val="both"/>
      </w:pPr>
      <w:r>
        <w:rPr>
          <w:rFonts w:ascii="Times New Roman"/>
          <w:b w:val="false"/>
          <w:i w:val="false"/>
          <w:color w:val="000000"/>
          <w:sz w:val="28"/>
        </w:rPr>
        <w:t>
      Сумма инвестиций, исключенная из фактического размера маржи платежеспособности (собственного капитала) участника страховой группы в соответствии с требованиями уполномоченного органа к достаточности маржи платежеспособности (собственного капитала) участника страховой группы, в инвестиции, указанные в части второй настоящего пункта, не включается.</w:t>
      </w:r>
    </w:p>
    <w:bookmarkEnd w:id="32"/>
    <w:bookmarkStart w:name="z34" w:id="33"/>
    <w:p>
      <w:pPr>
        <w:spacing w:after="0"/>
        <w:ind w:left="0"/>
        <w:jc w:val="both"/>
      </w:pPr>
      <w:r>
        <w:rPr>
          <w:rFonts w:ascii="Times New Roman"/>
          <w:b w:val="false"/>
          <w:i w:val="false"/>
          <w:color w:val="000000"/>
          <w:sz w:val="28"/>
        </w:rPr>
        <w:t>
      39-4. Минимальный размер маржи платежеспособности страховой группы представляет собой сумму минимального размера маржи платежеспособности (собственного капитала) родительской организации страховой группы и минимальных размеров маржи платежеспособности (собственных капиталов) других участников страховой группы.</w:t>
      </w:r>
    </w:p>
    <w:bookmarkEnd w:id="33"/>
    <w:bookmarkStart w:name="z35" w:id="34"/>
    <w:p>
      <w:pPr>
        <w:spacing w:after="0"/>
        <w:ind w:left="0"/>
        <w:jc w:val="both"/>
      </w:pPr>
      <w:r>
        <w:rPr>
          <w:rFonts w:ascii="Times New Roman"/>
          <w:b w:val="false"/>
          <w:i w:val="false"/>
          <w:color w:val="000000"/>
          <w:sz w:val="28"/>
        </w:rPr>
        <w:t>
      39-5. Порядок расчета фактического и минимального размеров маржи платежеспособности (собственного капитала) участника страховой группы определяется в соответствии с нормативными правовыми актами уполномоченного органа, регулирующими порядок расчета пруденциальных нормативов данного участника страховой группы.</w:t>
      </w:r>
    </w:p>
    <w:bookmarkEnd w:id="34"/>
    <w:bookmarkStart w:name="z36" w:id="35"/>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участников страховой группы равен сумме активов и (или) условных и возможных обязательств участника страховой группы, взвешенных по степени кредитного риска вложений, умноженной на коэффициент достаточности собственного капитала, установленный нормативными правовыми актами уполномоченного органа, регулирующими порядок расчета пруденциальных нормативов, в отношении участника страховой группы.</w:t>
      </w:r>
    </w:p>
    <w:bookmarkEnd w:id="35"/>
    <w:bookmarkStart w:name="z37" w:id="36"/>
    <w:p>
      <w:pPr>
        <w:spacing w:after="0"/>
        <w:ind w:left="0"/>
        <w:jc w:val="both"/>
      </w:pPr>
      <w:r>
        <w:rPr>
          <w:rFonts w:ascii="Times New Roman"/>
          <w:b w:val="false"/>
          <w:i w:val="false"/>
          <w:color w:val="000000"/>
          <w:sz w:val="28"/>
        </w:rPr>
        <w:t>
      В случае если для участника страховой группы, являющегося финансовой организацией, нормативными правовыми актами уполномоченного органа не установлен порядок расчета активов и (или) условных и возможных обязательств, взвешенных по степени кредитного риска вложений, то минимальный размер маржи платежеспособности (собственного капитала) равен значению маржи платежеспособности (собственного капитала), необходимого для выполнения норматива (коэффициента) достаточности маржи платежеспособности (собственного капитала), установленного нормативными правовыми актами уполномоченного органа.</w:t>
      </w:r>
    </w:p>
    <w:bookmarkEnd w:id="36"/>
    <w:bookmarkStart w:name="z38" w:id="37"/>
    <w:p>
      <w:pPr>
        <w:spacing w:after="0"/>
        <w:ind w:left="0"/>
        <w:jc w:val="both"/>
      </w:pPr>
      <w:r>
        <w:rPr>
          <w:rFonts w:ascii="Times New Roman"/>
          <w:b w:val="false"/>
          <w:i w:val="false"/>
          <w:color w:val="000000"/>
          <w:sz w:val="28"/>
        </w:rPr>
        <w:t>
      В случае если в отношении участника страховой группы порядок расчета норматива (коэффициента) достаточности маржи платежеспособности (собственного капитала) нормативными правовыми актами уполномоченного органа не установлен, то по данному участнику:</w:t>
      </w:r>
    </w:p>
    <w:bookmarkEnd w:id="37"/>
    <w:bookmarkStart w:name="z39" w:id="38"/>
    <w:p>
      <w:pPr>
        <w:spacing w:after="0"/>
        <w:ind w:left="0"/>
        <w:jc w:val="both"/>
      </w:pPr>
      <w:r>
        <w:rPr>
          <w:rFonts w:ascii="Times New Roman"/>
          <w:b w:val="false"/>
          <w:i w:val="false"/>
          <w:color w:val="000000"/>
          <w:sz w:val="28"/>
        </w:rPr>
        <w:t>
      фактический размер маржи платежеспособности (собственного капитала) определяется на основании финансовой отчетности как разница между активами и обязательствами;</w:t>
      </w:r>
    </w:p>
    <w:bookmarkEnd w:id="38"/>
    <w:bookmarkStart w:name="z40" w:id="39"/>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рассчитывается по формуле:</w:t>
      </w:r>
    </w:p>
    <w:bookmarkEnd w:id="39"/>
    <w:p>
      <w:pPr>
        <w:spacing w:after="0"/>
        <w:ind w:left="0"/>
        <w:jc w:val="both"/>
      </w:pPr>
      <w:r>
        <w:rPr>
          <w:rFonts w:ascii="Times New Roman"/>
          <w:b w:val="false"/>
          <w:i w:val="false"/>
          <w:color w:val="000000"/>
          <w:sz w:val="28"/>
        </w:rPr>
        <w:t>
                                  СК = А*0,14,</w:t>
      </w:r>
    </w:p>
    <w:bookmarkStart w:name="z41" w:id="40"/>
    <w:p>
      <w:pPr>
        <w:spacing w:after="0"/>
        <w:ind w:left="0"/>
        <w:jc w:val="both"/>
      </w:pPr>
      <w:r>
        <w:rPr>
          <w:rFonts w:ascii="Times New Roman"/>
          <w:b w:val="false"/>
          <w:i w:val="false"/>
          <w:color w:val="000000"/>
          <w:sz w:val="28"/>
        </w:rPr>
        <w:t>
      где:</w:t>
      </w:r>
    </w:p>
    <w:bookmarkEnd w:id="40"/>
    <w:bookmarkStart w:name="z42" w:id="41"/>
    <w:p>
      <w:pPr>
        <w:spacing w:after="0"/>
        <w:ind w:left="0"/>
        <w:jc w:val="both"/>
      </w:pPr>
      <w:r>
        <w:rPr>
          <w:rFonts w:ascii="Times New Roman"/>
          <w:b w:val="false"/>
          <w:i w:val="false"/>
          <w:color w:val="000000"/>
          <w:sz w:val="28"/>
        </w:rPr>
        <w:t>
      СК - минимальный размер маржи платежеспособности (собственного капитала) участника страховой группы;</w:t>
      </w:r>
    </w:p>
    <w:bookmarkEnd w:id="41"/>
    <w:bookmarkStart w:name="z43" w:id="42"/>
    <w:p>
      <w:pPr>
        <w:spacing w:after="0"/>
        <w:ind w:left="0"/>
        <w:jc w:val="both"/>
      </w:pPr>
      <w:r>
        <w:rPr>
          <w:rFonts w:ascii="Times New Roman"/>
          <w:b w:val="false"/>
          <w:i w:val="false"/>
          <w:color w:val="000000"/>
          <w:sz w:val="28"/>
        </w:rPr>
        <w:t xml:space="preserve">
      А - сумма активов, условных и возможных обязательств участника страховой группы, взвешенных по степени кредитного риска вложений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(зарегистрированного в Реестре государственной регистрации нормативных правовых актов под № 3924).</w:t>
      </w:r>
    </w:p>
    <w:bookmarkEnd w:id="42"/>
    <w:bookmarkStart w:name="z44" w:id="43"/>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кредитного риска вложений активы, условные и возможные обязательства уменьшаются на сумму созданных по ним резервов (провизий).</w:t>
      </w:r>
    </w:p>
    <w:bookmarkEnd w:id="43"/>
    <w:bookmarkStart w:name="z45" w:id="44"/>
    <w:p>
      <w:pPr>
        <w:spacing w:after="0"/>
        <w:ind w:left="0"/>
        <w:jc w:val="both"/>
      </w:pPr>
      <w:r>
        <w:rPr>
          <w:rFonts w:ascii="Times New Roman"/>
          <w:b w:val="false"/>
          <w:i w:val="false"/>
          <w:color w:val="000000"/>
          <w:sz w:val="28"/>
        </w:rPr>
        <w:t>
      В расчет суммы активов, условных и возможных обязательств участников страховой группы, взвешиваемых по степени кредитного риска вложений, не включаются требования участников страховой группы друг к другу.</w:t>
      </w:r>
    </w:p>
    <w:bookmarkEnd w:id="44"/>
    <w:bookmarkStart w:name="z46" w:id="45"/>
    <w:p>
      <w:pPr>
        <w:spacing w:after="0"/>
        <w:ind w:left="0"/>
        <w:jc w:val="both"/>
      </w:pPr>
      <w:r>
        <w:rPr>
          <w:rFonts w:ascii="Times New Roman"/>
          <w:b w:val="false"/>
          <w:i w:val="false"/>
          <w:color w:val="000000"/>
          <w:sz w:val="28"/>
        </w:rPr>
        <w:t>
      39-6. Фактический и минимальный размеры маржи платежеспособности (собственного капитала) участника страховой группы, являющегося нерезидентом Республики Казахстан, определяются нормативными правовыми актами уполномоченного органа соответствующего государства, регулирующего его деятельность в стране его нахождения.</w:t>
      </w:r>
    </w:p>
    <w:bookmarkEnd w:id="45"/>
    <w:bookmarkStart w:name="z47" w:id="46"/>
    <w:p>
      <w:pPr>
        <w:spacing w:after="0"/>
        <w:ind w:left="0"/>
        <w:jc w:val="both"/>
      </w:pPr>
      <w:r>
        <w:rPr>
          <w:rFonts w:ascii="Times New Roman"/>
          <w:b w:val="false"/>
          <w:i w:val="false"/>
          <w:color w:val="000000"/>
          <w:sz w:val="28"/>
        </w:rPr>
        <w:t>
      В случае если в отношении участника страховой группы, являющегося нерезидентом Республики Казахстан, порядок расчета фактического и минимального размеров маржи платежеспособности (собственного капитала) в стране его нахождения не установлен, то фактический и минимальный размеры маржи платежеспособности (собственного капитала) определяются в соответствии с частью четвертой пункта 39-5 настоящей Инструкции.</w:t>
      </w:r>
    </w:p>
    <w:bookmarkEnd w:id="46"/>
    <w:bookmarkStart w:name="z48" w:id="47"/>
    <w:p>
      <w:pPr>
        <w:spacing w:after="0"/>
        <w:ind w:left="0"/>
        <w:jc w:val="both"/>
      </w:pPr>
      <w:r>
        <w:rPr>
          <w:rFonts w:ascii="Times New Roman"/>
          <w:b w:val="false"/>
          <w:i w:val="false"/>
          <w:color w:val="000000"/>
          <w:sz w:val="28"/>
        </w:rPr>
        <w:t>
      39-7. Норматив достаточности маржи платежеспособности страховой группы рассчитывается по формуле:</w:t>
      </w:r>
    </w:p>
    <w:bookmarkEnd w:id="47"/>
    <w:p>
      <w:pPr>
        <w:spacing w:after="0"/>
        <w:ind w:left="0"/>
        <w:jc w:val="both"/>
      </w:pPr>
      <w:r>
        <w:rPr>
          <w:rFonts w:ascii="Times New Roman"/>
          <w:b w:val="false"/>
          <w:i w:val="false"/>
          <w:color w:val="000000"/>
          <w:sz w:val="28"/>
        </w:rPr>
        <w:t>
                                     ФМП</w:t>
      </w:r>
    </w:p>
    <w:p>
      <w:pPr>
        <w:spacing w:after="0"/>
        <w:ind w:left="0"/>
        <w:jc w:val="both"/>
      </w:pPr>
      <w:r>
        <w:rPr>
          <w:rFonts w:ascii="Times New Roman"/>
          <w:b w:val="false"/>
          <w:i w:val="false"/>
          <w:color w:val="000000"/>
          <w:sz w:val="28"/>
        </w:rPr>
        <w:t>
                           Нмп = ----------- &gt;= 1,</w:t>
      </w:r>
    </w:p>
    <w:p>
      <w:pPr>
        <w:spacing w:after="0"/>
        <w:ind w:left="0"/>
        <w:jc w:val="both"/>
      </w:pPr>
      <w:r>
        <w:rPr>
          <w:rFonts w:ascii="Times New Roman"/>
          <w:b w:val="false"/>
          <w:i w:val="false"/>
          <w:color w:val="000000"/>
          <w:sz w:val="28"/>
        </w:rPr>
        <w:t>
                                     ММП</w:t>
      </w:r>
    </w:p>
    <w:p>
      <w:pPr>
        <w:spacing w:after="0"/>
        <w:ind w:left="0"/>
        <w:jc w:val="both"/>
      </w:pPr>
      <w:r>
        <w:rPr>
          <w:rFonts w:ascii="Times New Roman"/>
          <w:b w:val="false"/>
          <w:i w:val="false"/>
          <w:color w:val="000000"/>
          <w:sz w:val="28"/>
        </w:rPr>
        <w:t>
      где:</w:t>
      </w:r>
    </w:p>
    <w:bookmarkStart w:name="z49" w:id="48"/>
    <w:p>
      <w:pPr>
        <w:spacing w:after="0"/>
        <w:ind w:left="0"/>
        <w:jc w:val="both"/>
      </w:pPr>
      <w:r>
        <w:rPr>
          <w:rFonts w:ascii="Times New Roman"/>
          <w:b w:val="false"/>
          <w:i w:val="false"/>
          <w:color w:val="000000"/>
          <w:sz w:val="28"/>
        </w:rPr>
        <w:t>
      Нмп - норматив достаточности маржи платежеспособности страховой группы;</w:t>
      </w:r>
    </w:p>
    <w:bookmarkEnd w:id="48"/>
    <w:bookmarkStart w:name="z50" w:id="49"/>
    <w:p>
      <w:pPr>
        <w:spacing w:after="0"/>
        <w:ind w:left="0"/>
        <w:jc w:val="both"/>
      </w:pPr>
      <w:r>
        <w:rPr>
          <w:rFonts w:ascii="Times New Roman"/>
          <w:b w:val="false"/>
          <w:i w:val="false"/>
          <w:color w:val="000000"/>
          <w:sz w:val="28"/>
        </w:rPr>
        <w:t>
      ФМП - фактическая маржа платежеспособности страховой группы;</w:t>
      </w:r>
    </w:p>
    <w:bookmarkEnd w:id="49"/>
    <w:bookmarkStart w:name="z51" w:id="50"/>
    <w:p>
      <w:pPr>
        <w:spacing w:after="0"/>
        <w:ind w:left="0"/>
        <w:jc w:val="both"/>
      </w:pPr>
      <w:r>
        <w:rPr>
          <w:rFonts w:ascii="Times New Roman"/>
          <w:b w:val="false"/>
          <w:i w:val="false"/>
          <w:color w:val="000000"/>
          <w:sz w:val="28"/>
        </w:rPr>
        <w:t>
      ММП - минимальный размер маржи платежеспособности страховой группы.</w:t>
      </w:r>
    </w:p>
    <w:bookmarkEnd w:id="50"/>
    <w:bookmarkStart w:name="z52" w:id="51"/>
    <w:p>
      <w:pPr>
        <w:spacing w:after="0"/>
        <w:ind w:left="0"/>
        <w:jc w:val="both"/>
      </w:pPr>
      <w:r>
        <w:rPr>
          <w:rFonts w:ascii="Times New Roman"/>
          <w:b w:val="false"/>
          <w:i w:val="false"/>
          <w:color w:val="000000"/>
          <w:sz w:val="28"/>
        </w:rPr>
        <w:t>
      Норматив достаточности фактической маржи платежеспособности страховой группы должен быть не менее единицы.";</w:t>
      </w:r>
    </w:p>
    <w:bookmarkEnd w:id="51"/>
    <w:bookmarkStart w:name="z53" w:id="52"/>
    <w:p>
      <w:pPr>
        <w:spacing w:after="0"/>
        <w:ind w:left="0"/>
        <w:jc w:val="both"/>
      </w:pPr>
      <w:r>
        <w:rPr>
          <w:rFonts w:ascii="Times New Roman"/>
          <w:b w:val="false"/>
          <w:i w:val="false"/>
          <w:color w:val="000000"/>
          <w:sz w:val="28"/>
        </w:rPr>
        <w:t>
      дополнить главой 8-1 следующего содержания:</w:t>
      </w:r>
    </w:p>
    <w:bookmarkEnd w:id="52"/>
    <w:bookmarkStart w:name="z54" w:id="53"/>
    <w:p>
      <w:pPr>
        <w:spacing w:after="0"/>
        <w:ind w:left="0"/>
        <w:jc w:val="both"/>
      </w:pPr>
      <w:r>
        <w:rPr>
          <w:rFonts w:ascii="Times New Roman"/>
          <w:b w:val="false"/>
          <w:i w:val="false"/>
          <w:color w:val="000000"/>
          <w:sz w:val="28"/>
        </w:rPr>
        <w:t>
      "Глава 8-1. Совокупный размер страховых премий, начисленных страховым (перестраховочным) организациям-нерезидентам Республики Казахстан. Максимальный размер собственного удержания и порядок его расчета</w:t>
      </w:r>
    </w:p>
    <w:bookmarkEnd w:id="53"/>
    <w:bookmarkStart w:name="z55" w:id="54"/>
    <w:p>
      <w:pPr>
        <w:spacing w:after="0"/>
        <w:ind w:left="0"/>
        <w:jc w:val="both"/>
      </w:pPr>
      <w:r>
        <w:rPr>
          <w:rFonts w:ascii="Times New Roman"/>
          <w:b w:val="false"/>
          <w:i w:val="false"/>
          <w:color w:val="000000"/>
          <w:sz w:val="28"/>
        </w:rPr>
        <w:t>
      44-1. Максимальный размер собственного удержания страховой (перестраховочной) организации по отдельному договору страхования или перестрахования, а также по каждому страховому риску рассчитывается актуарием и не превышает фактический размер маржи платежеспособности страховой (перестраховочной) организации.</w:t>
      </w:r>
    </w:p>
    <w:bookmarkEnd w:id="54"/>
    <w:bookmarkStart w:name="z56" w:id="55"/>
    <w:p>
      <w:pPr>
        <w:spacing w:after="0"/>
        <w:ind w:left="0"/>
        <w:jc w:val="both"/>
      </w:pPr>
      <w:r>
        <w:rPr>
          <w:rFonts w:ascii="Times New Roman"/>
          <w:b w:val="false"/>
          <w:i w:val="false"/>
          <w:color w:val="000000"/>
          <w:sz w:val="28"/>
        </w:rPr>
        <w:t>
      При этом договоры обязательного страхования, за исключением обязательного страхования работника от несчастных случаев при исполнении им трудовых (служебных) обязанностей или гражданско-правовой ответственности владельцев объектов, деятельность которых связана с опасностью причинения вреда третьим лицам, находятся на собственном удержании либо передаются в перестрахование перестраховщикам-резидентам Республики Казахстан.</w:t>
      </w:r>
    </w:p>
    <w:bookmarkEnd w:id="55"/>
    <w:bookmarkStart w:name="z57" w:id="56"/>
    <w:p>
      <w:pPr>
        <w:spacing w:after="0"/>
        <w:ind w:left="0"/>
        <w:jc w:val="both"/>
      </w:pPr>
      <w:r>
        <w:rPr>
          <w:rFonts w:ascii="Times New Roman"/>
          <w:b w:val="false"/>
          <w:i w:val="false"/>
          <w:color w:val="000000"/>
          <w:sz w:val="28"/>
        </w:rPr>
        <w:t>
      44-2. При групповом страховании расчет, указанный в пункте 44-1 настоящей Инструкции, осуществляется по каждому застрахованному отдельно.</w:t>
      </w:r>
    </w:p>
    <w:bookmarkEnd w:id="56"/>
    <w:bookmarkStart w:name="z58" w:id="57"/>
    <w:p>
      <w:pPr>
        <w:spacing w:after="0"/>
        <w:ind w:left="0"/>
        <w:jc w:val="both"/>
      </w:pPr>
      <w:r>
        <w:rPr>
          <w:rFonts w:ascii="Times New Roman"/>
          <w:b w:val="false"/>
          <w:i w:val="false"/>
          <w:color w:val="000000"/>
          <w:sz w:val="28"/>
        </w:rPr>
        <w:t>
      44-3. При состраховании расчет, указанный в пункте 44-1 настоящей Инструкции, осуществляется исходя из доли от страховой суммы каждого состраховщика.</w:t>
      </w:r>
    </w:p>
    <w:bookmarkEnd w:id="57"/>
    <w:bookmarkStart w:name="z59" w:id="58"/>
    <w:p>
      <w:pPr>
        <w:spacing w:after="0"/>
        <w:ind w:left="0"/>
        <w:jc w:val="both"/>
      </w:pPr>
      <w:r>
        <w:rPr>
          <w:rFonts w:ascii="Times New Roman"/>
          <w:b w:val="false"/>
          <w:i w:val="false"/>
          <w:color w:val="000000"/>
          <w:sz w:val="28"/>
        </w:rPr>
        <w:t>
      44-4. Совокупный размер страховых премий, начисленных к получению перестрахователем (цедентом) по действующим договорам страхования (перестрахования), за вычетом страховых премий, начисленных перестраховочным организациям, по одному классу страхования, составляет не менее 25 (двадцати пяти) процентов от совокупного размера страховых премий, начисленных к получению перестрахователем (цедентом) по действующим договорам страхования (перестрахования).</w:t>
      </w:r>
    </w:p>
    <w:bookmarkEnd w:id="58"/>
    <w:bookmarkStart w:name="z60" w:id="59"/>
    <w:p>
      <w:pPr>
        <w:spacing w:after="0"/>
        <w:ind w:left="0"/>
        <w:jc w:val="both"/>
      </w:pPr>
      <w:r>
        <w:rPr>
          <w:rFonts w:ascii="Times New Roman"/>
          <w:b w:val="false"/>
          <w:i w:val="false"/>
          <w:color w:val="000000"/>
          <w:sz w:val="28"/>
        </w:rPr>
        <w:t>
      44-5. Совокупный размер страховых премий, начисленных перестраховочным организациям - нерезидентам Республики Казахстан по действующим договорам перестрахования, за вычетом комиссионных вознаграждений, начисленных к получению от них перестрахователем (цедентом), не превышает 60 (шестидесяти) процентов от совокупного размера страховых премий, начисленных к получению по действующим договорам страхования (перестрахования).</w:t>
      </w:r>
    </w:p>
    <w:bookmarkEnd w:id="59"/>
    <w:bookmarkStart w:name="z61" w:id="60"/>
    <w:p>
      <w:pPr>
        <w:spacing w:after="0"/>
        <w:ind w:left="0"/>
        <w:jc w:val="both"/>
      </w:pPr>
      <w:r>
        <w:rPr>
          <w:rFonts w:ascii="Times New Roman"/>
          <w:b w:val="false"/>
          <w:i w:val="false"/>
          <w:color w:val="000000"/>
          <w:sz w:val="28"/>
        </w:rPr>
        <w:t>
      44-6. Ограничения, указанные в пунктах 44-4 и 44-5, не распространяются на договоры страхования и перестрахования, объем ответственности по которым превышает размер фактической маржи платежеспособности страховой организации.";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63" w:id="61"/>
    <w:p>
      <w:pPr>
        <w:spacing w:after="0"/>
        <w:ind w:left="0"/>
        <w:jc w:val="both"/>
      </w:pPr>
      <w:r>
        <w:rPr>
          <w:rFonts w:ascii="Times New Roman"/>
          <w:b w:val="false"/>
          <w:i w:val="false"/>
          <w:color w:val="000000"/>
          <w:sz w:val="28"/>
        </w:rPr>
        <w:t>
      "45. Страховая (перестраховочная) организация представляет в уполномоченный орган расчет пруденциальных нормативов со следующей периодичностью:</w:t>
      </w:r>
    </w:p>
    <w:bookmarkEnd w:id="61"/>
    <w:bookmarkStart w:name="z64" w:id="62"/>
    <w:p>
      <w:pPr>
        <w:spacing w:after="0"/>
        <w:ind w:left="0"/>
        <w:jc w:val="both"/>
      </w:pPr>
      <w:r>
        <w:rPr>
          <w:rFonts w:ascii="Times New Roman"/>
          <w:b w:val="false"/>
          <w:i w:val="false"/>
          <w:color w:val="000000"/>
          <w:sz w:val="28"/>
        </w:rPr>
        <w:t>
      до 1 января 2011 года:</w:t>
      </w:r>
    </w:p>
    <w:bookmarkEnd w:id="62"/>
    <w:bookmarkStart w:name="z65" w:id="63"/>
    <w:p>
      <w:pPr>
        <w:spacing w:after="0"/>
        <w:ind w:left="0"/>
        <w:jc w:val="both"/>
      </w:pPr>
      <w:r>
        <w:rPr>
          <w:rFonts w:ascii="Times New Roman"/>
          <w:b w:val="false"/>
          <w:i w:val="false"/>
          <w:color w:val="000000"/>
          <w:sz w:val="28"/>
        </w:rPr>
        <w:t xml:space="preserve">
      ежемесячно, не позднее 18.00 часов времени города Астаны пятого рабочего дня месяца, следующего за отчетным месяцем – расчет пруденциальных нормативов по формам, указанным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Инструкции, а также дополнительные сведения для расчета пруденциальных нормативов, по форме,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 (далее - дополнительные сведения);</w:t>
      </w:r>
    </w:p>
    <w:bookmarkEnd w:id="63"/>
    <w:bookmarkStart w:name="z66" w:id="64"/>
    <w:p>
      <w:pPr>
        <w:spacing w:after="0"/>
        <w:ind w:left="0"/>
        <w:jc w:val="both"/>
      </w:pPr>
      <w:r>
        <w:rPr>
          <w:rFonts w:ascii="Times New Roman"/>
          <w:b w:val="false"/>
          <w:i w:val="false"/>
          <w:color w:val="000000"/>
          <w:sz w:val="28"/>
        </w:rPr>
        <w:t xml:space="preserve">
      ежедекадно, не позднее 18.00 часов времени города Астаны пятого рабочего дня декады, следующей за отчетной декадой месяца – расчет достаточности высоколиквидных активов по форме,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64"/>
    <w:bookmarkStart w:name="z67" w:id="65"/>
    <w:p>
      <w:pPr>
        <w:spacing w:after="0"/>
        <w:ind w:left="0"/>
        <w:jc w:val="both"/>
      </w:pPr>
      <w:r>
        <w:rPr>
          <w:rFonts w:ascii="Times New Roman"/>
          <w:b w:val="false"/>
          <w:i w:val="false"/>
          <w:color w:val="000000"/>
          <w:sz w:val="28"/>
        </w:rPr>
        <w:t>
      с 1 января 2011 года:</w:t>
      </w:r>
    </w:p>
    <w:bookmarkEnd w:id="65"/>
    <w:bookmarkStart w:name="z68" w:id="66"/>
    <w:p>
      <w:pPr>
        <w:spacing w:after="0"/>
        <w:ind w:left="0"/>
        <w:jc w:val="both"/>
      </w:pPr>
      <w:r>
        <w:rPr>
          <w:rFonts w:ascii="Times New Roman"/>
          <w:b w:val="false"/>
          <w:i w:val="false"/>
          <w:color w:val="000000"/>
          <w:sz w:val="28"/>
        </w:rPr>
        <w:t xml:space="preserve">
      ежемесячно, не позднее 18.00 часов времени города Астаны пятого рабочего дня месяца, следующего за отчетным месяцем – расчет пруденциальных нормативов по формам, указанным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Инструкции, а также дополнительные сведения;</w:t>
      </w:r>
    </w:p>
    <w:bookmarkEnd w:id="66"/>
    <w:bookmarkStart w:name="z69" w:id="67"/>
    <w:p>
      <w:pPr>
        <w:spacing w:after="0"/>
        <w:ind w:left="0"/>
        <w:jc w:val="both"/>
      </w:pPr>
      <w:r>
        <w:rPr>
          <w:rFonts w:ascii="Times New Roman"/>
          <w:b w:val="false"/>
          <w:i w:val="false"/>
          <w:color w:val="000000"/>
          <w:sz w:val="28"/>
        </w:rPr>
        <w:t xml:space="preserve">
      ежедекадно, не позднее 18.00 часов времени города Астаны второго рабочего дня декады, следующей за отчетной декадой месяца, по состоянию на десятое, двадцатое числа месяца – расчет пруденциальных нормативов по формам, указанным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настоящей Инструкции, а также дополнительные сведения;</w:t>
      </w:r>
    </w:p>
    <w:bookmarkEnd w:id="67"/>
    <w:bookmarkStart w:name="z70" w:id="68"/>
    <w:p>
      <w:pPr>
        <w:spacing w:after="0"/>
        <w:ind w:left="0"/>
        <w:jc w:val="both"/>
      </w:pPr>
      <w:r>
        <w:rPr>
          <w:rFonts w:ascii="Times New Roman"/>
          <w:b w:val="false"/>
          <w:i w:val="false"/>
          <w:color w:val="000000"/>
          <w:sz w:val="28"/>
        </w:rPr>
        <w:t xml:space="preserve">
      ежедекадно, не позднее 18.00 часов времени города Астаны второго рабочего дня декады, следующей за отчетной декадой месяца, по состоянию на первое, десятое, двадцатое числа месяца – расчет достаточности высоколиквидных активов по форме,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68"/>
    <w:bookmarkStart w:name="z71" w:id="69"/>
    <w:p>
      <w:pPr>
        <w:spacing w:after="0"/>
        <w:ind w:left="0"/>
        <w:jc w:val="both"/>
      </w:pPr>
      <w:r>
        <w:rPr>
          <w:rFonts w:ascii="Times New Roman"/>
          <w:b w:val="false"/>
          <w:i w:val="false"/>
          <w:color w:val="000000"/>
          <w:sz w:val="28"/>
        </w:rPr>
        <w:t>
      Родительская организация страховой группы ежеквартально не позднее 18.00 часов времени города Астаны первого числа второго месяца, следующего за отчетным кварталом, по форме согласно приложению 8 к настоящей Инструкции представляет в уполномоченный орган расчет норматива достаточности маржи платежеспособности страховой группы с приложением финансовой отчетности участников страховой группы, не являющихся финансовыми организациями.</w:t>
      </w:r>
    </w:p>
    <w:bookmarkEnd w:id="69"/>
    <w:bookmarkStart w:name="z72" w:id="70"/>
    <w:p>
      <w:pPr>
        <w:spacing w:after="0"/>
        <w:ind w:left="0"/>
        <w:jc w:val="both"/>
      </w:pPr>
      <w:r>
        <w:rPr>
          <w:rFonts w:ascii="Times New Roman"/>
          <w:b w:val="false"/>
          <w:i w:val="false"/>
          <w:color w:val="000000"/>
          <w:sz w:val="28"/>
        </w:rPr>
        <w:t>
      Расчет пруденциальных нормативов страховой (перестраховочной) организации представляется на бумажном носителе.</w:t>
      </w:r>
    </w:p>
    <w:bookmarkEnd w:id="70"/>
    <w:bookmarkStart w:name="z73" w:id="71"/>
    <w:p>
      <w:pPr>
        <w:spacing w:after="0"/>
        <w:ind w:left="0"/>
        <w:jc w:val="both"/>
      </w:pPr>
      <w:r>
        <w:rPr>
          <w:rFonts w:ascii="Times New Roman"/>
          <w:b w:val="false"/>
          <w:i w:val="false"/>
          <w:color w:val="000000"/>
          <w:sz w:val="28"/>
        </w:rPr>
        <w:t>
      Дополнительные сведения и расчет норматива достаточности маржи платежеспособности страховой группы представляются на бумажном и электронном носителях.</w:t>
      </w:r>
    </w:p>
    <w:bookmarkEnd w:id="71"/>
    <w:bookmarkStart w:name="z74" w:id="72"/>
    <w:p>
      <w:pPr>
        <w:spacing w:after="0"/>
        <w:ind w:left="0"/>
        <w:jc w:val="both"/>
      </w:pPr>
      <w:r>
        <w:rPr>
          <w:rFonts w:ascii="Times New Roman"/>
          <w:b w:val="false"/>
          <w:i w:val="false"/>
          <w:color w:val="000000"/>
          <w:sz w:val="28"/>
        </w:rPr>
        <w:t>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72"/>
    <w:bookmarkStart w:name="z75" w:id="73"/>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73"/>
    <w:bookmarkStart w:name="z76" w:id="74"/>
    <w:p>
      <w:pPr>
        <w:spacing w:after="0"/>
        <w:ind w:left="0"/>
        <w:jc w:val="both"/>
      </w:pPr>
      <w:r>
        <w:rPr>
          <w:rFonts w:ascii="Times New Roman"/>
          <w:b w:val="false"/>
          <w:i w:val="false"/>
          <w:color w:val="000000"/>
          <w:sz w:val="28"/>
        </w:rPr>
        <w:t>
      Расчет пруденциальных нормативов и дополнительные сведения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страховой (перестраховочной) организации, заверяется печатью и представляется в уполномоченный орган, а также хранятся в страховой (перестраховочной) организации.</w:t>
      </w:r>
    </w:p>
    <w:bookmarkEnd w:id="74"/>
    <w:bookmarkStart w:name="z77" w:id="75"/>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родительской организации страховой группы, заверяется печатью и представляется в уполномоченный орган, а также хранится в родительской организации страховой группы.</w:t>
      </w:r>
    </w:p>
    <w:bookmarkEnd w:id="75"/>
    <w:bookmarkStart w:name="z78" w:id="76"/>
    <w:p>
      <w:pPr>
        <w:spacing w:after="0"/>
        <w:ind w:left="0"/>
        <w:jc w:val="both"/>
      </w:pPr>
      <w:r>
        <w:rPr>
          <w:rFonts w:ascii="Times New Roman"/>
          <w:b w:val="false"/>
          <w:i w:val="false"/>
          <w:color w:val="000000"/>
          <w:sz w:val="28"/>
        </w:rPr>
        <w:t>
      Идентичность данных отчетности страховой (перестраховочной) организации, представляемых на электронном носителе, данным на бумажном носителе, обеспечивается первым руководителем (в период его отсутствия – лицом, его замещающим) и главным бухгалтером страховой (перестраховочной) организации.</w:t>
      </w:r>
    </w:p>
    <w:bookmarkEnd w:id="76"/>
    <w:bookmarkStart w:name="z79" w:id="77"/>
    <w:p>
      <w:pPr>
        <w:spacing w:after="0"/>
        <w:ind w:left="0"/>
        <w:jc w:val="both"/>
      </w:pPr>
      <w:r>
        <w:rPr>
          <w:rFonts w:ascii="Times New Roman"/>
          <w:b w:val="false"/>
          <w:i w:val="false"/>
          <w:color w:val="000000"/>
          <w:sz w:val="28"/>
        </w:rPr>
        <w:t>
      Идентичность данных отчетности страховой группы, представляемых на электронном носителе, данным на бумажном носителе, обеспечивается первым руководителем (в период его отсутствия – лицом, его замещающим) и главным бухгалтером родительской организации страховой группы.</w:t>
      </w:r>
    </w:p>
    <w:bookmarkEnd w:id="77"/>
    <w:bookmarkStart w:name="z80" w:id="78"/>
    <w:p>
      <w:pPr>
        <w:spacing w:after="0"/>
        <w:ind w:left="0"/>
        <w:jc w:val="both"/>
      </w:pPr>
      <w:r>
        <w:rPr>
          <w:rFonts w:ascii="Times New Roman"/>
          <w:b w:val="false"/>
          <w:i w:val="false"/>
          <w:color w:val="000000"/>
          <w:sz w:val="28"/>
        </w:rPr>
        <w:t>
      По требованию уполномоченного органа страховая (перестраховочная) организация или родительская организация страховой группы не позднее 2 (двух) рабочих дней со дня получения запроса представляет отчетность по состоянию на определенную дату на бумажном носителе.</w:t>
      </w:r>
    </w:p>
    <w:bookmarkEnd w:id="78"/>
    <w:bookmarkStart w:name="z81" w:id="79"/>
    <w:p>
      <w:pPr>
        <w:spacing w:after="0"/>
        <w:ind w:left="0"/>
        <w:jc w:val="both"/>
      </w:pPr>
      <w:r>
        <w:rPr>
          <w:rFonts w:ascii="Times New Roman"/>
          <w:b w:val="false"/>
          <w:i w:val="false"/>
          <w:color w:val="000000"/>
          <w:sz w:val="28"/>
        </w:rPr>
        <w:t>
      К расчету норматива достаточности маржи платежеспособности страховой группы прилагаются сведения о нормативных значениях, методике расчета пруденциальных нормативов участников страховой группы, являющихся нерезидентами Республики Казахстан, установленные нормативными правовыми актами уполномоченного органа соответствующего государства, регулирующего их деятельность в стране их нахождения.</w:t>
      </w:r>
    </w:p>
    <w:bookmarkEnd w:id="79"/>
    <w:bookmarkStart w:name="z82" w:id="80"/>
    <w:p>
      <w:pPr>
        <w:spacing w:after="0"/>
        <w:ind w:left="0"/>
        <w:jc w:val="both"/>
      </w:pPr>
      <w:r>
        <w:rPr>
          <w:rFonts w:ascii="Times New Roman"/>
          <w:b w:val="false"/>
          <w:i w:val="false"/>
          <w:color w:val="000000"/>
          <w:sz w:val="28"/>
        </w:rPr>
        <w:t>
      Расчет норматива достаточности маржи платежеспособности страховой группы за четвертый квартал истекшего года представляется в уполномоченный орган не позднее 1 апреля года, следующего за отчетным.";</w:t>
      </w:r>
    </w:p>
    <w:bookmarkEnd w:id="80"/>
    <w:bookmarkStart w:name="z83"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46</w:t>
      </w:r>
      <w:r>
        <w:rPr>
          <w:rFonts w:ascii="Times New Roman"/>
          <w:b w:val="false"/>
          <w:i w:val="false"/>
          <w:color w:val="000000"/>
          <w:sz w:val="28"/>
        </w:rPr>
        <w:t>:</w:t>
      </w:r>
    </w:p>
    <w:bookmarkEnd w:id="81"/>
    <w:bookmarkStart w:name="z84" w:id="82"/>
    <w:p>
      <w:pPr>
        <w:spacing w:after="0"/>
        <w:ind w:left="0"/>
        <w:jc w:val="both"/>
      </w:pPr>
      <w:r>
        <w:rPr>
          <w:rFonts w:ascii="Times New Roman"/>
          <w:b w:val="false"/>
          <w:i w:val="false"/>
          <w:color w:val="000000"/>
          <w:sz w:val="28"/>
        </w:rPr>
        <w:t>
      во втором предложении части первой слова "или лицом, его замещающим" заменить словами "(в период его отсутствия – лицом, его замещающим)";</w:t>
      </w:r>
    </w:p>
    <w:bookmarkEnd w:id="82"/>
    <w:bookmarkStart w:name="z85" w:id="83"/>
    <w:p>
      <w:pPr>
        <w:spacing w:after="0"/>
        <w:ind w:left="0"/>
        <w:jc w:val="both"/>
      </w:pPr>
      <w:r>
        <w:rPr>
          <w:rFonts w:ascii="Times New Roman"/>
          <w:b w:val="false"/>
          <w:i w:val="false"/>
          <w:color w:val="000000"/>
          <w:sz w:val="28"/>
        </w:rPr>
        <w:t>
      часть вторую после слов "пруденциальных нормативов" дополнить словами "на бумажном носителе";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7" w:id="84"/>
    <w:p>
      <w:pPr>
        <w:spacing w:after="0"/>
        <w:ind w:left="0"/>
        <w:jc w:val="both"/>
      </w:pPr>
      <w:r>
        <w:rPr>
          <w:rFonts w:ascii="Times New Roman"/>
          <w:b w:val="false"/>
          <w:i w:val="false"/>
          <w:color w:val="000000"/>
          <w:sz w:val="28"/>
        </w:rPr>
        <w:t>
      "49. В случае необходимости внесения изменений и (или) дополнений в отчетность, страховая (перестраховочная) организация, родительская организация страховой группы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(или) дополнений.</w:t>
      </w:r>
    </w:p>
    <w:bookmarkEnd w:id="84"/>
    <w:bookmarkStart w:name="z88" w:id="85"/>
    <w:p>
      <w:pPr>
        <w:spacing w:after="0"/>
        <w:ind w:left="0"/>
        <w:jc w:val="both"/>
      </w:pPr>
      <w:r>
        <w:rPr>
          <w:rFonts w:ascii="Times New Roman"/>
          <w:b w:val="false"/>
          <w:i w:val="false"/>
          <w:color w:val="000000"/>
          <w:sz w:val="28"/>
        </w:rPr>
        <w:t>
      При обнаружении неполной и (или) недостоверной информации в отчетности уполномоченный орган уведомляет об этом страховую (перестраховочную) организацию, родительскую организацию страховой группы. Страховая (перестраховочная) организация, родительская организация страховой группы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p>
    <w:bookmarkEnd w:id="85"/>
    <w:bookmarkStart w:name="z89" w:id="8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после слова "организации," дополнить словами "норматива достаточности маржи платежеспособности страховой группы,";</w:t>
      </w:r>
    </w:p>
    <w:bookmarkEnd w:id="86"/>
    <w:bookmarkStart w:name="z90"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87"/>
    <w:bookmarkStart w:name="z91" w:id="88"/>
    <w:p>
      <w:pPr>
        <w:spacing w:after="0"/>
        <w:ind w:left="0"/>
        <w:jc w:val="both"/>
      </w:pPr>
      <w:r>
        <w:rPr>
          <w:rFonts w:ascii="Times New Roman"/>
          <w:b w:val="false"/>
          <w:i w:val="false"/>
          <w:color w:val="000000"/>
          <w:sz w:val="28"/>
        </w:rPr>
        <w:t>
      наименование графы, порядковый номер 2, таблицы дополнить словами "либо требования к договору перестрахования";</w:t>
      </w:r>
    </w:p>
    <w:bookmarkEnd w:id="88"/>
    <w:bookmarkStart w:name="z92" w:id="89"/>
    <w:p>
      <w:pPr>
        <w:spacing w:after="0"/>
        <w:ind w:left="0"/>
        <w:jc w:val="both"/>
      </w:pPr>
      <w:r>
        <w:rPr>
          <w:rFonts w:ascii="Times New Roman"/>
          <w:b w:val="false"/>
          <w:i w:val="false"/>
          <w:color w:val="000000"/>
          <w:sz w:val="28"/>
        </w:rPr>
        <w:t>
      строку тринадцатую таблицы изложить в следующей редакции:</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5123"/>
        <w:gridCol w:w="313"/>
        <w:gridCol w:w="4727"/>
        <w:gridCol w:w="314"/>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w:t>
            </w:r>
          </w:p>
          <w:p>
            <w:pPr>
              <w:spacing w:after="20"/>
              <w:ind w:left="20"/>
              <w:jc w:val="both"/>
            </w:pPr>
            <w:r>
              <w:rPr>
                <w:rFonts w:ascii="Times New Roman"/>
                <w:b w:val="false"/>
                <w:i w:val="false"/>
                <w:color w:val="000000"/>
                <w:sz w:val="20"/>
              </w:rPr>
              <w:t>
соответствующие признакам,</w:t>
            </w:r>
          </w:p>
          <w:p>
            <w:pPr>
              <w:spacing w:after="20"/>
              <w:ind w:left="20"/>
              <w:jc w:val="both"/>
            </w:pPr>
            <w:r>
              <w:rPr>
                <w:rFonts w:ascii="Times New Roman"/>
                <w:b w:val="false"/>
                <w:i w:val="false"/>
                <w:color w:val="000000"/>
                <w:sz w:val="20"/>
              </w:rPr>
              <w:t>
указанным в пункте 33-1 настоящей</w:t>
            </w:r>
          </w:p>
          <w:p>
            <w:pPr>
              <w:spacing w:after="20"/>
              <w:ind w:left="20"/>
              <w:jc w:val="both"/>
            </w:pPr>
            <w:r>
              <w:rPr>
                <w:rFonts w:ascii="Times New Roman"/>
                <w:b w:val="false"/>
                <w:i w:val="false"/>
                <w:color w:val="000000"/>
                <w:sz w:val="20"/>
              </w:rPr>
              <w:t>
Инструкции</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после слов "настоящей Инструкции." дополнить словами</w:t>
      </w:r>
    </w:p>
    <w:bookmarkEnd w:id="90"/>
    <w:p>
      <w:pPr>
        <w:spacing w:after="0"/>
        <w:ind w:left="0"/>
        <w:jc w:val="both"/>
      </w:pPr>
      <w:r>
        <w:rPr>
          <w:rFonts w:ascii="Times New Roman"/>
          <w:b w:val="false"/>
          <w:i w:val="false"/>
          <w:color w:val="000000"/>
          <w:sz w:val="28"/>
        </w:rPr>
        <w:t>
      "Первый руководитель (в период его отсутствия – лицо, его</w:t>
      </w:r>
    </w:p>
    <w:p>
      <w:pPr>
        <w:spacing w:after="0"/>
        <w:ind w:left="0"/>
        <w:jc w:val="both"/>
      </w:pPr>
      <w:r>
        <w:rPr>
          <w:rFonts w:ascii="Times New Roman"/>
          <w:b w:val="false"/>
          <w:i w:val="false"/>
          <w:color w:val="000000"/>
          <w:sz w:val="28"/>
        </w:rPr>
        <w:t>
      замещающее)________________________________________________________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 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94"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после слов "("100" или "400", наименьшая</w:t>
      </w:r>
    </w:p>
    <w:bookmarkEnd w:id="91"/>
    <w:p>
      <w:pPr>
        <w:spacing w:after="0"/>
        <w:ind w:left="0"/>
        <w:jc w:val="both"/>
      </w:pPr>
      <w:r>
        <w:rPr>
          <w:rFonts w:ascii="Times New Roman"/>
          <w:b w:val="false"/>
          <w:i w:val="false"/>
          <w:color w:val="000000"/>
          <w:sz w:val="28"/>
        </w:rPr>
        <w:t>
      величина)" дополнить словами</w:t>
      </w:r>
    </w:p>
    <w:p>
      <w:pPr>
        <w:spacing w:after="0"/>
        <w:ind w:left="0"/>
        <w:jc w:val="both"/>
      </w:pPr>
      <w:r>
        <w:rPr>
          <w:rFonts w:ascii="Times New Roman"/>
          <w:b w:val="false"/>
          <w:i w:val="false"/>
          <w:color w:val="000000"/>
          <w:sz w:val="28"/>
        </w:rPr>
        <w:t>
            "Первый руководитель (в период его отсутствия – лицо, его</w:t>
      </w:r>
    </w:p>
    <w:p>
      <w:pPr>
        <w:spacing w:after="0"/>
        <w:ind w:left="0"/>
        <w:jc w:val="both"/>
      </w:pPr>
      <w:r>
        <w:rPr>
          <w:rFonts w:ascii="Times New Roman"/>
          <w:b w:val="false"/>
          <w:i w:val="false"/>
          <w:color w:val="000000"/>
          <w:sz w:val="28"/>
        </w:rPr>
        <w:t>
      замещающее)_______________________________________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 ______ 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95" w:id="92"/>
    <w:p>
      <w:pPr>
        <w:spacing w:after="0"/>
        <w:ind w:left="0"/>
        <w:jc w:val="both"/>
      </w:pPr>
      <w:r>
        <w:rPr>
          <w:rFonts w:ascii="Times New Roman"/>
          <w:b w:val="false"/>
          <w:i w:val="false"/>
          <w:color w:val="000000"/>
          <w:sz w:val="28"/>
        </w:rPr>
        <w:t xml:space="preserve">
           после таблиц "Расчет активов страховой (перестраховочной) </w:t>
      </w:r>
    </w:p>
    <w:bookmarkEnd w:id="92"/>
    <w:p>
      <w:pPr>
        <w:spacing w:after="0"/>
        <w:ind w:left="0"/>
        <w:jc w:val="both"/>
      </w:pPr>
      <w:r>
        <w:rPr>
          <w:rFonts w:ascii="Times New Roman"/>
          <w:b w:val="false"/>
          <w:i w:val="false"/>
          <w:color w:val="000000"/>
          <w:sz w:val="28"/>
        </w:rPr>
        <w:t>
      организации с учетом их классификации по качеству и ликвидности" и</w:t>
      </w:r>
    </w:p>
    <w:p>
      <w:pPr>
        <w:spacing w:after="0"/>
        <w:ind w:left="0"/>
        <w:jc w:val="both"/>
      </w:pPr>
      <w:r>
        <w:rPr>
          <w:rFonts w:ascii="Times New Roman"/>
          <w:b w:val="false"/>
          <w:i w:val="false"/>
          <w:color w:val="000000"/>
          <w:sz w:val="28"/>
        </w:rPr>
        <w:t xml:space="preserve">
      "Расчет нормативов диверсификации активов" </w:t>
      </w:r>
      <w:r>
        <w:rPr>
          <w:rFonts w:ascii="Times New Roman"/>
          <w:b w:val="false"/>
          <w:i w:val="false"/>
          <w:color w:val="000000"/>
          <w:sz w:val="28"/>
        </w:rPr>
        <w:t>приложения 4</w:t>
      </w:r>
      <w:r>
        <w:rPr>
          <w:rFonts w:ascii="Times New Roman"/>
          <w:b w:val="false"/>
          <w:i w:val="false"/>
          <w:color w:val="000000"/>
          <w:sz w:val="28"/>
        </w:rPr>
        <w:t xml:space="preserve"> дополнить</w:t>
      </w:r>
    </w:p>
    <w:p>
      <w:pPr>
        <w:spacing w:after="0"/>
        <w:ind w:left="0"/>
        <w:jc w:val="both"/>
      </w:pPr>
      <w:r>
        <w:rPr>
          <w:rFonts w:ascii="Times New Roman"/>
          <w:b w:val="false"/>
          <w:i w:val="false"/>
          <w:color w:val="000000"/>
          <w:sz w:val="28"/>
        </w:rPr>
        <w:t>
      словами:</w:t>
      </w:r>
    </w:p>
    <w:p>
      <w:pPr>
        <w:spacing w:after="0"/>
        <w:ind w:left="0"/>
        <w:jc w:val="both"/>
      </w:pPr>
      <w:r>
        <w:rPr>
          <w:rFonts w:ascii="Times New Roman"/>
          <w:b w:val="false"/>
          <w:i w:val="false"/>
          <w:color w:val="000000"/>
          <w:sz w:val="28"/>
        </w:rPr>
        <w:t>
            "Первый руководитель (в период его отсутствия – лицо, его</w:t>
      </w:r>
    </w:p>
    <w:p>
      <w:pPr>
        <w:spacing w:after="0"/>
        <w:ind w:left="0"/>
        <w:jc w:val="both"/>
      </w:pPr>
      <w:r>
        <w:rPr>
          <w:rFonts w:ascii="Times New Roman"/>
          <w:b w:val="false"/>
          <w:i w:val="false"/>
          <w:color w:val="000000"/>
          <w:sz w:val="28"/>
        </w:rPr>
        <w:t>
      замещающее)________________________________________________________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bookmarkStart w:name="z96" w:id="93"/>
    <w:p>
      <w:pPr>
        <w:spacing w:after="0"/>
        <w:ind w:left="0"/>
        <w:jc w:val="both"/>
      </w:pPr>
      <w:r>
        <w:rPr>
          <w:rFonts w:ascii="Times New Roman"/>
          <w:b w:val="false"/>
          <w:i w:val="false"/>
          <w:color w:val="000000"/>
          <w:sz w:val="28"/>
        </w:rPr>
        <w:t>
            Главный бухгалтер___________________________________ ________</w:t>
      </w:r>
    </w:p>
    <w:bookmarkEnd w:id="93"/>
    <w:p>
      <w:pPr>
        <w:spacing w:after="0"/>
        <w:ind w:left="0"/>
        <w:jc w:val="both"/>
      </w:pPr>
      <w:r>
        <w:rPr>
          <w:rFonts w:ascii="Times New Roman"/>
          <w:b w:val="false"/>
          <w:i w:val="false"/>
          <w:color w:val="000000"/>
          <w:sz w:val="28"/>
        </w:rPr>
        <w:t>
                          (фамилия, имя, при наличии - отчество) (подпись)</w:t>
      </w:r>
    </w:p>
    <w:bookmarkStart w:name="z97" w:id="94"/>
    <w:p>
      <w:pPr>
        <w:spacing w:after="0"/>
        <w:ind w:left="0"/>
        <w:jc w:val="both"/>
      </w:pPr>
      <w:r>
        <w:rPr>
          <w:rFonts w:ascii="Times New Roman"/>
          <w:b w:val="false"/>
          <w:i w:val="false"/>
          <w:color w:val="000000"/>
          <w:sz w:val="28"/>
        </w:rPr>
        <w:t>
            Исполнитель: _____________________ ________ _________________</w:t>
      </w:r>
    </w:p>
    <w:bookmarkEnd w:id="94"/>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98"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95"/>
    <w:bookmarkStart w:name="z99" w:id="96"/>
    <w:p>
      <w:pPr>
        <w:spacing w:after="0"/>
        <w:ind w:left="0"/>
        <w:jc w:val="both"/>
      </w:pPr>
      <w:r>
        <w:rPr>
          <w:rFonts w:ascii="Times New Roman"/>
          <w:b w:val="false"/>
          <w:i w:val="false"/>
          <w:color w:val="000000"/>
          <w:sz w:val="28"/>
        </w:rPr>
        <w:t>
      после строки, порядковый номер 8108, дополнить строками, порядковые номера 8109, 8110, 8111, 8112, 8113, 8114, следующего содержания:</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5"/>
        <w:gridCol w:w="6828"/>
        <w:gridCol w:w="388"/>
        <w:gridCol w:w="389"/>
      </w:tblGrid>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w:t>
            </w:r>
          </w:p>
          <w:p>
            <w:pPr>
              <w:spacing w:after="20"/>
              <w:ind w:left="20"/>
              <w:jc w:val="both"/>
            </w:pPr>
            <w:r>
              <w:rPr>
                <w:rFonts w:ascii="Times New Roman"/>
                <w:b w:val="false"/>
                <w:i w:val="false"/>
                <w:color w:val="000000"/>
                <w:sz w:val="20"/>
              </w:rPr>
              <w:t>
превышающей один процент от суммы</w:t>
            </w:r>
          </w:p>
          <w:p>
            <w:pPr>
              <w:spacing w:after="20"/>
              <w:ind w:left="20"/>
              <w:jc w:val="both"/>
            </w:pPr>
            <w:r>
              <w:rPr>
                <w:rFonts w:ascii="Times New Roman"/>
                <w:b w:val="false"/>
                <w:i w:val="false"/>
                <w:color w:val="000000"/>
                <w:sz w:val="20"/>
              </w:rPr>
              <w:t>
активов страховой (перестраховочной)</w:t>
            </w:r>
          </w:p>
          <w:p>
            <w:pPr>
              <w:spacing w:after="20"/>
              <w:ind w:left="20"/>
              <w:jc w:val="both"/>
            </w:pPr>
            <w:r>
              <w:rPr>
                <w:rFonts w:ascii="Times New Roman"/>
                <w:b w:val="false"/>
                <w:i w:val="false"/>
                <w:color w:val="000000"/>
                <w:sz w:val="20"/>
              </w:rPr>
              <w:t>
организации за минусом активов</w:t>
            </w:r>
          </w:p>
          <w:p>
            <w:pPr>
              <w:spacing w:after="20"/>
              <w:ind w:left="20"/>
              <w:jc w:val="both"/>
            </w:pPr>
            <w:r>
              <w:rPr>
                <w:rFonts w:ascii="Times New Roman"/>
                <w:b w:val="false"/>
                <w:i w:val="false"/>
                <w:color w:val="000000"/>
                <w:sz w:val="20"/>
              </w:rPr>
              <w:t xml:space="preserve">
перестрахования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w:t>
            </w:r>
          </w:p>
          <w:p>
            <w:pPr>
              <w:spacing w:after="20"/>
              <w:ind w:left="20"/>
              <w:jc w:val="both"/>
            </w:pPr>
            <w:r>
              <w:rPr>
                <w:rFonts w:ascii="Times New Roman"/>
                <w:b w:val="false"/>
                <w:i w:val="false"/>
                <w:color w:val="000000"/>
                <w:sz w:val="20"/>
              </w:rPr>
              <w:t>
уровня Республики Казахстан,</w:t>
            </w:r>
          </w:p>
          <w:p>
            <w:pPr>
              <w:spacing w:after="20"/>
              <w:ind w:left="20"/>
              <w:jc w:val="both"/>
            </w:pPr>
            <w:r>
              <w:rPr>
                <w:rFonts w:ascii="Times New Roman"/>
                <w:b w:val="false"/>
                <w:i w:val="false"/>
                <w:color w:val="000000"/>
                <w:sz w:val="20"/>
              </w:rPr>
              <w:t xml:space="preserve">
указанных в </w:t>
            </w:r>
            <w:r>
              <w:rPr>
                <w:rFonts w:ascii="Times New Roman"/>
                <w:b w:val="false"/>
                <w:i w:val="false"/>
                <w:color w:val="000000"/>
                <w:sz w:val="20"/>
              </w:rPr>
              <w:t>подпункте 3)</w:t>
            </w:r>
            <w:r>
              <w:rPr>
                <w:rFonts w:ascii="Times New Roman"/>
                <w:b w:val="false"/>
                <w:i w:val="false"/>
                <w:color w:val="000000"/>
                <w:sz w:val="20"/>
              </w:rPr>
              <w:t xml:space="preserve"> пункта 36</w:t>
            </w:r>
          </w:p>
          <w:p>
            <w:pPr>
              <w:spacing w:after="20"/>
              <w:ind w:left="20"/>
              <w:jc w:val="both"/>
            </w:pPr>
            <w:r>
              <w:rPr>
                <w:rFonts w:ascii="Times New Roman"/>
                <w:b w:val="false"/>
                <w:i w:val="false"/>
                <w:color w:val="000000"/>
                <w:sz w:val="20"/>
              </w:rPr>
              <w:t>
настоящей Инструкции</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w:t>
            </w:r>
          </w:p>
          <w:p>
            <w:pPr>
              <w:spacing w:after="20"/>
              <w:ind w:left="20"/>
              <w:jc w:val="both"/>
            </w:pPr>
            <w:r>
              <w:rPr>
                <w:rFonts w:ascii="Times New Roman"/>
                <w:b w:val="false"/>
                <w:i w:val="false"/>
                <w:color w:val="000000"/>
                <w:sz w:val="20"/>
              </w:rPr>
              <w:t>
второго уровня Республики Казахстан,</w:t>
            </w:r>
          </w:p>
          <w:p>
            <w:pPr>
              <w:spacing w:after="20"/>
              <w:ind w:left="20"/>
              <w:jc w:val="both"/>
            </w:pPr>
            <w:r>
              <w:rPr>
                <w:rFonts w:ascii="Times New Roman"/>
                <w:b w:val="false"/>
                <w:i w:val="false"/>
                <w:color w:val="000000"/>
                <w:sz w:val="20"/>
              </w:rPr>
              <w:t xml:space="preserve">
указанных в </w:t>
            </w:r>
            <w:r>
              <w:rPr>
                <w:rFonts w:ascii="Times New Roman"/>
                <w:b w:val="false"/>
                <w:i w:val="false"/>
                <w:color w:val="000000"/>
                <w:sz w:val="20"/>
              </w:rPr>
              <w:t>подпункте 3)</w:t>
            </w:r>
            <w:r>
              <w:rPr>
                <w:rFonts w:ascii="Times New Roman"/>
                <w:b w:val="false"/>
                <w:i w:val="false"/>
                <w:color w:val="000000"/>
                <w:sz w:val="20"/>
              </w:rPr>
              <w:t xml:space="preserve"> пункта 36</w:t>
            </w:r>
          </w:p>
          <w:p>
            <w:pPr>
              <w:spacing w:after="20"/>
              <w:ind w:left="20"/>
              <w:jc w:val="both"/>
            </w:pPr>
            <w:r>
              <w:rPr>
                <w:rFonts w:ascii="Times New Roman"/>
                <w:b w:val="false"/>
                <w:i w:val="false"/>
                <w:color w:val="000000"/>
                <w:sz w:val="20"/>
              </w:rPr>
              <w:t>
настоящей Инструкции, и Национальном</w:t>
            </w:r>
          </w:p>
          <w:p>
            <w:pPr>
              <w:spacing w:after="20"/>
              <w:ind w:left="20"/>
              <w:jc w:val="both"/>
            </w:pPr>
            <w:r>
              <w:rPr>
                <w:rFonts w:ascii="Times New Roman"/>
                <w:b w:val="false"/>
                <w:i w:val="false"/>
                <w:color w:val="000000"/>
                <w:sz w:val="20"/>
              </w:rPr>
              <w:t>
Банке Республики Казахстан</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 в банках второго</w:t>
            </w:r>
          </w:p>
          <w:p>
            <w:pPr>
              <w:spacing w:after="20"/>
              <w:ind w:left="20"/>
              <w:jc w:val="both"/>
            </w:pPr>
            <w:r>
              <w:rPr>
                <w:rFonts w:ascii="Times New Roman"/>
                <w:b w:val="false"/>
                <w:i w:val="false"/>
                <w:color w:val="000000"/>
                <w:sz w:val="20"/>
              </w:rPr>
              <w:t>
уровня Республики Казахстан,</w:t>
            </w:r>
          </w:p>
          <w:p>
            <w:pPr>
              <w:spacing w:after="20"/>
              <w:ind w:left="20"/>
              <w:jc w:val="both"/>
            </w:pPr>
            <w:r>
              <w:rPr>
                <w:rFonts w:ascii="Times New Roman"/>
                <w:b w:val="false"/>
                <w:i w:val="false"/>
                <w:color w:val="000000"/>
                <w:sz w:val="20"/>
              </w:rPr>
              <w:t xml:space="preserve">
указанных в </w:t>
            </w:r>
            <w:r>
              <w:rPr>
                <w:rFonts w:ascii="Times New Roman"/>
                <w:b w:val="false"/>
                <w:i w:val="false"/>
                <w:color w:val="000000"/>
                <w:sz w:val="20"/>
              </w:rPr>
              <w:t>подпункте 3)</w:t>
            </w:r>
            <w:r>
              <w:rPr>
                <w:rFonts w:ascii="Times New Roman"/>
                <w:b w:val="false"/>
                <w:i w:val="false"/>
                <w:color w:val="000000"/>
                <w:sz w:val="20"/>
              </w:rPr>
              <w:t xml:space="preserve"> пункта 36</w:t>
            </w:r>
          </w:p>
          <w:p>
            <w:pPr>
              <w:spacing w:after="20"/>
              <w:ind w:left="20"/>
              <w:jc w:val="both"/>
            </w:pPr>
            <w:r>
              <w:rPr>
                <w:rFonts w:ascii="Times New Roman"/>
                <w:b w:val="false"/>
                <w:i w:val="false"/>
                <w:color w:val="000000"/>
                <w:sz w:val="20"/>
              </w:rPr>
              <w:t>
настоящей Инструкции</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в объеме 100</w:t>
            </w:r>
          </w:p>
          <w:p>
            <w:pPr>
              <w:spacing w:after="20"/>
              <w:ind w:left="20"/>
              <w:jc w:val="both"/>
            </w:pPr>
            <w:r>
              <w:rPr>
                <w:rFonts w:ascii="Times New Roman"/>
                <w:b w:val="false"/>
                <w:i w:val="false"/>
                <w:color w:val="000000"/>
                <w:sz w:val="20"/>
              </w:rPr>
              <w:t>
процентов от суммы основного долга</w:t>
            </w:r>
          </w:p>
          <w:p>
            <w:pPr>
              <w:spacing w:after="20"/>
              <w:ind w:left="20"/>
              <w:jc w:val="both"/>
            </w:pPr>
            <w:r>
              <w:rPr>
                <w:rFonts w:ascii="Times New Roman"/>
                <w:b w:val="false"/>
                <w:i w:val="false"/>
                <w:color w:val="000000"/>
                <w:sz w:val="20"/>
              </w:rPr>
              <w:t>
(для страховых организаций,</w:t>
            </w:r>
          </w:p>
          <w:p>
            <w:pPr>
              <w:spacing w:after="20"/>
              <w:ind w:left="20"/>
              <w:jc w:val="both"/>
            </w:pPr>
            <w:r>
              <w:rPr>
                <w:rFonts w:ascii="Times New Roman"/>
                <w:b w:val="false"/>
                <w:i w:val="false"/>
                <w:color w:val="000000"/>
                <w:sz w:val="20"/>
              </w:rPr>
              <w:t>
осуществляющих деятельность в отрасли</w:t>
            </w:r>
          </w:p>
          <w:p>
            <w:pPr>
              <w:spacing w:after="20"/>
              <w:ind w:left="20"/>
              <w:jc w:val="both"/>
            </w:pPr>
            <w:r>
              <w:rPr>
                <w:rFonts w:ascii="Times New Roman"/>
                <w:b w:val="false"/>
                <w:i w:val="false"/>
                <w:color w:val="000000"/>
                <w:sz w:val="20"/>
              </w:rPr>
              <w:t>
"страхование жизни")</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после слова и цифр "признаки № 8048-8078" дополнить цифрой ", 8114";</w:t>
      </w:r>
    </w:p>
    <w:bookmarkEnd w:id="97"/>
    <w:bookmarkStart w:name="z101" w:id="98"/>
    <w:p>
      <w:pPr>
        <w:spacing w:after="0"/>
        <w:ind w:left="0"/>
        <w:jc w:val="both"/>
      </w:pPr>
      <w:r>
        <w:rPr>
          <w:rFonts w:ascii="Times New Roman"/>
          <w:b w:val="false"/>
          <w:i w:val="false"/>
          <w:color w:val="000000"/>
          <w:sz w:val="28"/>
        </w:rPr>
        <w:t xml:space="preserve">
           после слов "выполнения требований </w:t>
      </w:r>
      <w:r>
        <w:rPr>
          <w:rFonts w:ascii="Times New Roman"/>
          <w:b w:val="false"/>
          <w:i w:val="false"/>
          <w:color w:val="000000"/>
          <w:sz w:val="28"/>
        </w:rPr>
        <w:t>пункта 34</w:t>
      </w:r>
      <w:r>
        <w:rPr>
          <w:rFonts w:ascii="Times New Roman"/>
          <w:b w:val="false"/>
          <w:i w:val="false"/>
          <w:color w:val="000000"/>
          <w:sz w:val="28"/>
        </w:rPr>
        <w:t xml:space="preserve"> настоящей Инструкции" дополнить словами:</w:t>
      </w:r>
    </w:p>
    <w:bookmarkEnd w:id="98"/>
    <w:p>
      <w:pPr>
        <w:spacing w:after="0"/>
        <w:ind w:left="0"/>
        <w:jc w:val="both"/>
      </w:pPr>
      <w:r>
        <w:rPr>
          <w:rFonts w:ascii="Times New Roman"/>
          <w:b w:val="false"/>
          <w:i w:val="false"/>
          <w:color w:val="000000"/>
          <w:sz w:val="28"/>
        </w:rPr>
        <w:t>
            "Первый руководитель (в период его отсутствия – лицо, его замещающее)_______________________________________________________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 ________ 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102"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после таблицы "Расчет норматива достаточности высоколиквидных активов" дополнить словами</w:t>
      </w:r>
    </w:p>
    <w:bookmarkEnd w:id="99"/>
    <w:p>
      <w:pPr>
        <w:spacing w:after="0"/>
        <w:ind w:left="0"/>
        <w:jc w:val="both"/>
      </w:pPr>
      <w:r>
        <w:rPr>
          <w:rFonts w:ascii="Times New Roman"/>
          <w:b w:val="false"/>
          <w:i w:val="false"/>
          <w:color w:val="000000"/>
          <w:sz w:val="28"/>
        </w:rPr>
        <w:t>
            "Первый руководитель (в период его отсутствия – лицо, его замещающее)________________________________________ 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 ________ 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bookmarkStart w:name="z103" w:id="100"/>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00"/>
    <w:bookmarkStart w:name="z104" w:id="101"/>
    <w:p>
      <w:pPr>
        <w:spacing w:after="0"/>
        <w:ind w:left="0"/>
        <w:jc w:val="both"/>
      </w:pP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w:t>
      </w:r>
    </w:p>
    <w:bookmarkEnd w:id="101"/>
    <w:bookmarkStart w:name="z105" w:id="102"/>
    <w:p>
      <w:pPr>
        <w:spacing w:after="0"/>
        <w:ind w:left="0"/>
        <w:jc w:val="both"/>
      </w:pPr>
      <w:r>
        <w:rPr>
          <w:rFonts w:ascii="Times New Roman"/>
          <w:b w:val="false"/>
          <w:i w:val="false"/>
          <w:color w:val="000000"/>
          <w:sz w:val="28"/>
        </w:rPr>
        <w:t>
      Действие абзацев шестьдесят второго и шестьдесят третьего пункта 1 настоящего постановления не распространяется на договоры перестрахования, заключенные до 1 января 2011 года, но не более одного года со дня введения в действие настоящего постановления. При этом такие договоры не подлежат изменению, включая продление сроков их действия.</w:t>
      </w:r>
    </w:p>
    <w:bookmarkEnd w:id="102"/>
    <w:bookmarkStart w:name="z106" w:id="103"/>
    <w:p>
      <w:pPr>
        <w:spacing w:after="0"/>
        <w:ind w:left="0"/>
        <w:jc w:val="both"/>
      </w:pPr>
      <w:r>
        <w:rPr>
          <w:rFonts w:ascii="Times New Roman"/>
          <w:b w:val="false"/>
          <w:i w:val="false"/>
          <w:color w:val="000000"/>
          <w:sz w:val="28"/>
        </w:rPr>
        <w:t>
      3. Департаменту надзора за субъектами страхового рынка и другими финансовыми организациями (Каракулова Д.Ш):</w:t>
      </w:r>
    </w:p>
    <w:bookmarkEnd w:id="103"/>
    <w:bookmarkStart w:name="z107" w:id="104"/>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Казахстане настоящего постановления;</w:t>
      </w:r>
    </w:p>
    <w:bookmarkEnd w:id="104"/>
    <w:bookmarkStart w:name="z108" w:id="105"/>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w:t>
      </w:r>
    </w:p>
    <w:bookmarkEnd w:id="105"/>
    <w:bookmarkStart w:name="z109" w:id="106"/>
    <w:p>
      <w:pPr>
        <w:spacing w:after="0"/>
        <w:ind w:left="0"/>
        <w:jc w:val="both"/>
      </w:pP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106"/>
    <w:bookmarkStart w:name="z110" w:id="10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10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3 сентября 2010 года № 146</w:t>
            </w:r>
            <w:r>
              <w:br/>
            </w:r>
            <w:r>
              <w:rPr>
                <w:rFonts w:ascii="Times New Roman"/>
                <w:b w:val="false"/>
                <w:i w:val="false"/>
                <w:color w:val="000000"/>
                <w:sz w:val="20"/>
              </w:rPr>
              <w:t>"Приложение 8</w:t>
            </w:r>
            <w:r>
              <w:br/>
            </w:r>
            <w:r>
              <w:rPr>
                <w:rFonts w:ascii="Times New Roman"/>
                <w:b w:val="false"/>
                <w:i w:val="false"/>
                <w:color w:val="000000"/>
                <w:sz w:val="20"/>
              </w:rPr>
              <w:t>к Инструкции о нормативных значениях и методике</w:t>
            </w:r>
            <w:r>
              <w:br/>
            </w:r>
            <w:r>
              <w:rPr>
                <w:rFonts w:ascii="Times New Roman"/>
                <w:b w:val="false"/>
                <w:i w:val="false"/>
                <w:color w:val="000000"/>
                <w:sz w:val="20"/>
              </w:rPr>
              <w:t>расчетов пруденциальных нормативов страховой</w:t>
            </w:r>
            <w:r>
              <w:br/>
            </w:r>
            <w:r>
              <w:rPr>
                <w:rFonts w:ascii="Times New Roman"/>
                <w:b w:val="false"/>
                <w:i w:val="false"/>
                <w:color w:val="000000"/>
                <w:sz w:val="20"/>
              </w:rPr>
              <w:t>(перестраховочной) организации, норматива</w:t>
            </w:r>
            <w:r>
              <w:br/>
            </w:r>
            <w:r>
              <w:rPr>
                <w:rFonts w:ascii="Times New Roman"/>
                <w:b w:val="false"/>
                <w:i w:val="false"/>
                <w:color w:val="000000"/>
                <w:sz w:val="20"/>
              </w:rPr>
              <w:t>достаточности маржи платежеспособности страховой</w:t>
            </w:r>
            <w:r>
              <w:br/>
            </w:r>
            <w:r>
              <w:rPr>
                <w:rFonts w:ascii="Times New Roman"/>
                <w:b w:val="false"/>
                <w:i w:val="false"/>
                <w:color w:val="000000"/>
                <w:sz w:val="20"/>
              </w:rPr>
              <w:t>группы, формах и сроках представления отчетов</w:t>
            </w:r>
            <w:r>
              <w:br/>
            </w:r>
            <w:r>
              <w:rPr>
                <w:rFonts w:ascii="Times New Roman"/>
                <w:b w:val="false"/>
                <w:i w:val="false"/>
                <w:color w:val="000000"/>
                <w:sz w:val="20"/>
              </w:rPr>
              <w:t>о выполнении пруденциальных нормативов</w:t>
            </w:r>
          </w:p>
        </w:tc>
      </w:tr>
    </w:tbl>
    <w:bookmarkStart w:name="z112" w:id="108"/>
    <w:p>
      <w:pPr>
        <w:spacing w:after="0"/>
        <w:ind w:left="0"/>
        <w:jc w:val="left"/>
      </w:pPr>
      <w:r>
        <w:rPr>
          <w:rFonts w:ascii="Times New Roman"/>
          <w:b/>
          <w:i w:val="false"/>
          <w:color w:val="000000"/>
        </w:rPr>
        <w:t xml:space="preserve">  Расчет норматива достаточности маржи</w:t>
      </w:r>
      <w:r>
        <w:br/>
      </w:r>
      <w:r>
        <w:rPr>
          <w:rFonts w:ascii="Times New Roman"/>
          <w:b/>
          <w:i w:val="false"/>
          <w:color w:val="000000"/>
        </w:rPr>
        <w:t>платежеспособности страховой группы                                                 (в тысячах тенге)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0483"/>
        <w:gridCol w:w="355"/>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маржи платежеспособности</w:t>
            </w:r>
          </w:p>
          <w:p>
            <w:pPr>
              <w:spacing w:after="20"/>
              <w:ind w:left="20"/>
              <w:jc w:val="both"/>
            </w:pPr>
            <w:r>
              <w:rPr>
                <w:rFonts w:ascii="Times New Roman"/>
                <w:b w:val="false"/>
                <w:i w:val="false"/>
                <w:color w:val="000000"/>
                <w:sz w:val="20"/>
              </w:rPr>
              <w:t>
страховой группы (1.1 + 1.2 + 1.3 + … + 1.n)</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маржи платежеспособности</w:t>
            </w:r>
          </w:p>
          <w:p>
            <w:pPr>
              <w:spacing w:after="20"/>
              <w:ind w:left="20"/>
              <w:jc w:val="both"/>
            </w:pPr>
            <w:r>
              <w:rPr>
                <w:rFonts w:ascii="Times New Roman"/>
                <w:b w:val="false"/>
                <w:i w:val="false"/>
                <w:color w:val="000000"/>
                <w:sz w:val="20"/>
              </w:rPr>
              <w:t>
страховой группы за вычетом инвестиций (2 –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p>
            <w:pPr>
              <w:spacing w:after="20"/>
              <w:ind w:left="20"/>
              <w:jc w:val="both"/>
            </w:pPr>
            <w:r>
              <w:rPr>
                <w:rFonts w:ascii="Times New Roman"/>
                <w:b w:val="false"/>
                <w:i w:val="false"/>
                <w:color w:val="000000"/>
                <w:sz w:val="20"/>
              </w:rPr>
              <w:t>
страховой группы (4.1 + 4.2 + 4.3 + … + 4.n)</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p>
            <w:pPr>
              <w:spacing w:after="20"/>
              <w:ind w:left="20"/>
              <w:jc w:val="both"/>
            </w:pPr>
            <w:r>
              <w:rPr>
                <w:rFonts w:ascii="Times New Roman"/>
                <w:b w:val="false"/>
                <w:i w:val="false"/>
                <w:color w:val="000000"/>
                <w:sz w:val="20"/>
              </w:rPr>
              <w:t>
страховой группы (3/4)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(в период его отсутствия – лицо, его замещающее)_______________________________________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бухгалтер_______________________________ 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 _______ 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отчета "_____" __________ 20_____ года.</w:t>
      </w:r>
    </w:p>
    <w:p>
      <w:pPr>
        <w:spacing w:after="0"/>
        <w:ind w:left="0"/>
        <w:jc w:val="both"/>
      </w:pP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