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ea55" w14:textId="43fe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февраля 2009 года № 11-15. Зарегистрировано Департаментом юстиции Западно-Казахстанской области 19 февраля 2009 года № 3022. Утратило силу - решением Западно-Казахстанского областного маслихата от 28 марта 2013 года № 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Западно-Казахстанского областного маслихата от 28.03.2013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 (Налоговый Кодекс), Лесным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заготовку второстепенных древесных ресурсов (приложение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побочные лесные пользования (сенокошение) (приложение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пользование участками лесного фонда для нужд охотничьего хозяйства (приложение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пользование участками лесного фонда для культурно-оздоровительных, рекреационных, туристских и спортивных целей (приложение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пользование особо охраняемыми природными территориями местного значения Западно-Казахстанской области (приложение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 ставках платы за лесные пользования на участках государственного лесного фонда" от 26 февраля 2008 года N 6-10 (зарегистрированное в Реестре государственной регистрации нормативных правовых актов за N 3002, опубликованное 8 марта 2008 года за N 29-30 в областной газете "Приуралье"),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мая 2008 года N 7-5 "О внесении изменений в решение Западно-Казахстанского областного маслихата "О ставках платы за лесные пользования на участках государственного лесного фонда" от 26 февраля 2008 года N 6-10" (зарегистрированное в Реестре государственной регистрации нормативных правовых актов за N 3008, опубликованное 24 мая 2008 года за N 59 в областной газете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возникшие с 1 января 2009 года правоотношения.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от 11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заготовку второстепенных древесных ресурсов 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467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пользования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за 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метел, материалов для плетения (хворост)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0,022 МРП 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веников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(хворост береза)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(хворост дуба)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0,032 МРП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0,082 МРП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от 11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побочные лесные пользования (сенокошение)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данным учета лесного фонда на 01.01.2009 года имеется сенокосов на площади 31 221 га, их урожайность составляет 1,2-6,8 ц/га.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673"/>
        <w:gridCol w:w="29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затрат на 1  га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сенокошение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сенокошение с га площади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тенге с 1 га участка лесной площади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от 11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участками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 для нужд 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данным учета лесного фонда на 01.01.2009 года площадь охотничьих угодий на территории государственного лесного фонда составляет 53 835,3 га, числится 15 охотничьих хозяйств, 10 охотопользователей. Среднегодовая численность охотников в Западно-Казахстанской области составляет 3 747 человек.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577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 лесного фонда для нужд охотничьего хозяйства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 лесного фонда для нужд охотничьего хозяйства с га площади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тенге с 1 га участка лесной площади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от 11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участками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 для культурно-оздоровительных,</w:t>
      </w:r>
      <w:r>
        <w:br/>
      </w:r>
      <w:r>
        <w:rPr>
          <w:rFonts w:ascii="Times New Roman"/>
          <w:b/>
          <w:i w:val="false"/>
          <w:color w:val="000000"/>
        </w:rPr>
        <w:t>
рекреационных, туристских и спортивных целей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данным учета лесного фонда на 01.01.2009 года территория, резервируемая для организаций зон лечения, отдыха и туризма в государственном лесном фонде составляет 48 тыс.га.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2357"/>
        <w:gridCol w:w="3845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 лесного фонда для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оздоровительных, рекреационных, туристских и спортивных целей 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за пользование участками лесного фонда для культурно- оздоровительных, рекреационных, туристских и спортивных целей с га площади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тенге с 1 га участка лесной площади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от 11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особо охраняемыми</w:t>
      </w:r>
      <w:r>
        <w:br/>
      </w:r>
      <w:r>
        <w:rPr>
          <w:rFonts w:ascii="Times New Roman"/>
          <w:b/>
          <w:i w:val="false"/>
          <w:color w:val="000000"/>
        </w:rPr>
        <w:t>
природными территориями местного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053"/>
        <w:gridCol w:w="1933"/>
        <w:gridCol w:w="2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использования особо охраняемых природных территорий местного значения физическими и юридическими лицами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в месячных расчетных показателях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научных целях (проведение научных  исследований)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культурно- просветительных и учебных целях: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показ объектов неживой природы, растений и животных, объектов историко-культурного наследия;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проведение учебных экскурсий и занятий, производственных практик учащихся и студентов;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подготовка научных кадров, переподготовка и повышение квалификации специалистов в области заповедного дела, охраны окружающей среды и рационального природопользования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Человеко-день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туристических и рекреационных целях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особо охраняемых природных территорий в целях, указанных в пунктах 1, 2, 3 настоящих Ставок платы, юридическими лицами в форме государственного учреждения, определенными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статьей 19 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"Об особо охраняемых природных территориях"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Человеко-день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