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721c" w14:textId="3077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 на единицу налогообложения по Шемонаихинскому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 Восточно-Казахстанской области от 13 февраля 2009 года N 16/3-IV. Зарегистрировано Управлением юстиции Шемонаихинского района Департамента юстиции Восточно-Казахстанской области 19 февраля 2009 года за N 5-19-91. Утратило силу решением Шемонаихинского районного маслихата от 19 марта 2011 года № 35/6-IV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Шемонаихинского районного маслихата от 19.03.2011 </w:t>
      </w:r>
      <w:r>
        <w:rPr>
          <w:rFonts w:ascii="Times New Roman"/>
          <w:b w:val="false"/>
          <w:i w:val="false"/>
          <w:color w:val="000000"/>
          <w:sz w:val="28"/>
        </w:rPr>
        <w:t>№ 35/6-IV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в Республике Казахстан»,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фиксированного налога на единицу налогообложения, согласно приложению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от 12 мая 2006 года </w:t>
      </w:r>
      <w:r>
        <w:rPr>
          <w:rFonts w:ascii="Times New Roman"/>
          <w:b w:val="false"/>
          <w:i w:val="false"/>
          <w:color w:val="000000"/>
          <w:sz w:val="28"/>
        </w:rPr>
        <w:t>№ 25/7-III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ставке фиксированного суммарного налога по боулингу (кегельбану)», (зарегистрировано в реестре государственной регистрации нормативных правовых актов за номером 5-19-32, опубликовано в газете «Уба –Информ» 9 июня 2006 года № 23) и решение  от 24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35/6-III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ставок платежей по Шемонаихинскому району» (зарегистрировано в реестре государственной регистрации нормативных правовых актов за номером 5-19-58, опубликовано в газете «Уба-Инфо» 24 августа 2007 года № 34)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 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 Е. АЙТМУХАМЕД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2009 года № 16/3-IV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Ставки фиксированного налога на единицу налогообложения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Шемонаихинскому району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653"/>
        <w:gridCol w:w="4273"/>
      </w:tblGrid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  предназначенный для проведения игры с  одним игроком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  предназначенный для проведения игры с  участием более одного игрока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  для проведения игры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