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ae6b" w14:textId="1a7a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декабря 2009 года N 20/6-IV. Зарегистрировано управлением юстиции Глубоковского района Департамента юстиции Восточно-Казахстанской области 26 января 2010 года за N 5-9-120. Утратило силу в связи с истечением срока действия (письмо Глубоковского районного маслихата от 05 января 2011 года № 1)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Глубоковского районного маслихата от 05.01.2011 № 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введении в действие Кодекса Республики Казахстан «О налогах и других обязательных платежах в бюджет»»,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разовых талонов для физических лиц, деятельность которых носит эпизодический характер, по Глубоковскому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разовых талонов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 Глубоковского района, за исключением реализации в киосках, стационарных помещениях (изолированных блоках) на территории рынка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 А. Бурдаков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А. Брагинец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20/6-IV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деятельность</w:t>
      </w:r>
      <w:r>
        <w:br/>
      </w:r>
      <w:r>
        <w:rPr>
          <w:rFonts w:ascii="Times New Roman"/>
          <w:b/>
          <w:i w:val="false"/>
          <w:color w:val="000000"/>
        </w:rPr>
        <w:t>
которых носит эпизодический характер, по Глубоковскому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693"/>
        <w:gridCol w:w="35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талона в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один день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осуществляемой в стационарных помещениях):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(саженцы, рассада)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придомовых участках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садоводства, огородничества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дачных участков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земельных участков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20/6-IV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предпринимателей и юридических лиц,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реализации товаров, выполнению работ, оказанию услуг на</w:t>
      </w:r>
      <w:r>
        <w:br/>
      </w:r>
      <w:r>
        <w:rPr>
          <w:rFonts w:ascii="Times New Roman"/>
          <w:b/>
          <w:i w:val="false"/>
          <w:color w:val="000000"/>
        </w:rPr>
        <w:t>
рынках Глубоковского района, за исключением реализации в</w:t>
      </w:r>
      <w:r>
        <w:br/>
      </w:r>
      <w:r>
        <w:rPr>
          <w:rFonts w:ascii="Times New Roman"/>
          <w:b/>
          <w:i w:val="false"/>
          <w:color w:val="000000"/>
        </w:rPr>
        <w:t>
киосках, стационарных помещениях (изолированных блоках)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033"/>
        <w:gridCol w:w="35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талона в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один день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киосках, стационарных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(изолированных блоках)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рынка: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товаров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