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566c" w14:textId="3f85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25 декабря 2008 года № 11/9-IV "Об установлении стоимости разовых талонов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апреля 2009 года N 15/3-IV. Зарегистрировано Управлением юстиции Глубоковского района Департамента юстиции Восточно-Казахстанской области 28 апреля 2009 года за N 5-9-103. Прекращено действие по истечении срока, на который решение было принято, на основании письма Глубоковского районного  маслихата от 28 декабря 2009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Прекращено действие по истечении срока, на который решение было принято, на основании письма Глубоковского районного  маслихата от 28.12.2009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«О налогах и других обязательных платежах в бюджет»»,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«Об установлении стоимости разовых талонов на 2009 год» от 25 декабря 2008 года № 11/9-IV (зарегистрировано в Реестре государственной регистрации нормативных правовых актов № 5-9-96, опубликовано в газете «Огни Прииртышья» 6 февраля 2009 года № 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 «Услуги владельцев личных легковых автомобилей по перевозке пассажиров (за исключением лицензируемых перевозок)»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  Председатель сессии      С. Соколов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      районного маслихата      А. Брагинец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