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038a8" w14:textId="e4038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25 декабря 2008 года №    13/105-IV "О бюджете города Семей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24 апреля 2009 года N 17/132-IV. Зарегистрировано Управлением юстиции города Семей  Департамента юстиции Восточно-Казахстанской области 30 апреля 2009 года за N 5-2-109. Прекращено действие по истечении срока, на который решение было принято, на основании письма аппарата маслихата города Семей Восточно-Казахстанской области от 29 декабря 2009 года № 01-26/589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Прекращено действие по истечении срока, на который решение было принято, на основании письма аппарата маслихата города Семей Восточно-Казахстанской области от 29.12.2009 № 01-26/589.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17 апреля 2009 года № 13/153-IV «О внесении изменений и дополнений в решение от 19 декабря 2008 года № 10/129-IV «Об областном бюджете на 2009 год» (зарегистрировано в Реестре государственной регистрации нормативных правовых актов от 27 апреля 2009 года № 2497) маслихат города Семей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25 декабря 2008 года № 13/105-IV «О бюджете города Семей на 2009 год» (зарегистрировано в Реестре государственной регистрации нормативных правовых актов от 31 декабря 2008 года № 5-2-98, опубликовано в газетах «Семей таңы» и «Вести Семей» от 8 января 2009 года № 1-2), с учетом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20 февраля 2009 года № 15/133- IV «О внесении изменений и дополнений в решение от 25 декабря 2008 года № 13/105-IV «О бюджете города Семей на 2009 год» (зарегистрировано в Реестре государственной регистрации нормативных правовых актов от 27 февраля 2009 года № 5-2-104, опубликовано в газетах «Семей таңы» и «Вести Семей» от 5 марта 2009 года № 10)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городской бюджет на 2009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13412028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7470410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38958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338285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5564375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13769644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- 11000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- 11000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(-) 368616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368616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227000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271616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«Резерв местного исполнительного органа района (города областного значения) - 98200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целевые текущие трансферты из областного бюджета на социальную помощь отдельным категориям нуждающихся граждан в сумме 8976 тысяч тенге,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средств в сумме 9336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оказание материальной помощи некоторым категориям граждан (участникам ВОВ, инвалидам ВОВ, лицам, приравненным к участникам ВОВ и инвалидам ВОВ, семьям погибших военнослужащих) – 6452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оказание материальной помощи пенсионерам, имеющим заслуги перед Республикой Казахстан – 982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оказание материальной помощи пенсионерам, имеющим заслуги перед областью – 532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оказание единовременной материальной помощи многодетным матерям, награжденным подвесками «Алтын алқа», «Күміс алқа» или получившие ранее звание «Мать-героиня» и награжденные орденом «Материнская слава» 1, 2 степени – 910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оказание единовременной материальной помощи многодетным матерям, имеющим 4 и более совместно проживающих несовершеннолетних детей - 460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уменьшены средства на оказание материальной помощи семьям, погибших в Афганистане в сумме 360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5-2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цифру «15161» заменить цифрой «15464»;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цифру «8168» заменить цифрой «8242»;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одиннадцатом слова «развитие и обустройство» заменить словами «развитие, обустройство и (или) приобретение»;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двенадцатый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тринадцатом цифру «3000000» заменить цифрой «2257337»;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четырнадцатым: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строительство и (или) приобретение жилья государственного коммунального жилищного фонда в соответствии с Государственной программой жилищного строительства в Республике Казахстан на 2008-2010 годы в сумме 27516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5-3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</w:t>
      </w:r>
      <w:r>
        <w:rPr>
          <w:rFonts w:ascii="Times New Roman"/>
          <w:b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строительство и приобретение» заменить словами «строительство и (или) приобретение».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 пунктами </w:t>
      </w:r>
      <w:r>
        <w:rPr>
          <w:rFonts w:ascii="Times New Roman"/>
          <w:b w:val="false"/>
          <w:i w:val="false"/>
          <w:color w:val="000000"/>
          <w:sz w:val="28"/>
        </w:rPr>
        <w:t>5-4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«5-4. Предусмотреть в бюджете города Семей на 2009 год целевые текущие трансферты и целевые трансферты на развитие из республиканского бюджета на обеспечение занятости в рамках реализации стратегии региональной занятости и переподготовки кадров для финансирования следующих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1336889 тысяч тенге - на ремонт инженерно-коммуникационной инфраструктуры и благоустройство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138271 тысяч тенге - на развитие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56835 тысяч тенге - на ремонт и содержание автомобильных дорог районного значения и улиц городов в рамках реализации стратегии региональной занятости и переподготовки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398628 тысяч тенге - на капитальный и текущий ремонт школ и других социальных объектов в рамках реализации стратегии региональной занятости и переподготовки кадров,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30308 тысяч тенге – на текущий ремонт объектов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368320 тысяч тенге - капитальный и текущий ремонт объектов образования.».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«5-5. Предусмотреть в бюджете города Семей на 2009 год целевые текущие трансферты из республиканского бюджета на расширение программы социальных рабочих мест и молодежной практики в сумме 235535 тысяч тенге.»,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расширение программ молодежной практики – 91870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социальных рабочих мест – 143665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   Н. Каирбеков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   К. Мирашев</w:t>
      </w:r>
    </w:p>
    <w:bookmarkEnd w:id="0"/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от 24 апреля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17/132-IV</w:t>
      </w:r>
    </w:p>
    <w:bookmarkEnd w:id="1"/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Семей на 2009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8"/>
        <w:gridCol w:w="986"/>
        <w:gridCol w:w="902"/>
        <w:gridCol w:w="7335"/>
        <w:gridCol w:w="2659"/>
      </w:tblGrid>
      <w:tr>
        <w:trPr>
          <w:trHeight w:val="9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ия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8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3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13 412 028</w:t>
            </w:r>
          </w:p>
        </w:tc>
      </w:tr>
      <w:tr>
        <w:trPr>
          <w:trHeight w:val="18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7 470 410</w:t>
            </w:r>
          </w:p>
        </w:tc>
      </w:tr>
      <w:tr>
        <w:trPr>
          <w:trHeight w:val="19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3 199 621</w:t>
            </w:r>
          </w:p>
        </w:tc>
      </w:tr>
      <w:tr>
        <w:trPr>
          <w:trHeight w:val="24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3 199 621</w:t>
            </w:r>
          </w:p>
        </w:tc>
      </w:tr>
      <w:tr>
        <w:trPr>
          <w:trHeight w:val="21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2 571 069</w:t>
            </w:r>
          </w:p>
        </w:tc>
      </w:tr>
      <w:tr>
        <w:trPr>
          <w:trHeight w:val="19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2 571 069</w:t>
            </w:r>
          </w:p>
        </w:tc>
      </w:tr>
      <w:tr>
        <w:trPr>
          <w:trHeight w:val="22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1 206 642</w:t>
            </w:r>
          </w:p>
        </w:tc>
      </w:tr>
      <w:tr>
        <w:trPr>
          <w:trHeight w:val="21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746 306</w:t>
            </w:r>
          </w:p>
        </w:tc>
      </w:tr>
      <w:tr>
        <w:trPr>
          <w:trHeight w:val="22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196 444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261 892</w:t>
            </w:r>
          </w:p>
        </w:tc>
      </w:tr>
      <w:tr>
        <w:trPr>
          <w:trHeight w:val="28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43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375 560</w:t>
            </w:r>
          </w:p>
        </w:tc>
      </w:tr>
      <w:tr>
        <w:trPr>
          <w:trHeight w:val="30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112 676</w:t>
            </w:r>
          </w:p>
        </w:tc>
      </w:tr>
      <w:tr>
        <w:trPr>
          <w:trHeight w:val="36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111 000</w:t>
            </w:r>
          </w:p>
        </w:tc>
      </w:tr>
      <w:tr>
        <w:trPr>
          <w:trHeight w:val="60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115 420</w:t>
            </w:r>
          </w:p>
        </w:tc>
      </w:tr>
      <w:tr>
        <w:trPr>
          <w:trHeight w:val="12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36 464</w:t>
            </w:r>
          </w:p>
        </w:tc>
      </w:tr>
      <w:tr>
        <w:trPr>
          <w:trHeight w:val="15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117 518</w:t>
            </w:r>
          </w:p>
        </w:tc>
      </w:tr>
      <w:tr>
        <w:trPr>
          <w:trHeight w:val="22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117 518</w:t>
            </w:r>
          </w:p>
        </w:tc>
      </w:tr>
      <w:tr>
        <w:trPr>
          <w:trHeight w:val="24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38 958</w:t>
            </w:r>
          </w:p>
        </w:tc>
      </w:tr>
      <w:tr>
        <w:trPr>
          <w:trHeight w:val="46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31 554</w:t>
            </w:r>
          </w:p>
        </w:tc>
      </w:tr>
      <w:tr>
        <w:trPr>
          <w:trHeight w:val="7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73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87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31 394</w:t>
            </w:r>
          </w:p>
        </w:tc>
      </w:tr>
      <w:tr>
        <w:trPr>
          <w:trHeight w:val="249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706</w:t>
            </w:r>
          </w:p>
        </w:tc>
      </w:tr>
      <w:tr>
        <w:trPr>
          <w:trHeight w:val="24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</w:p>
        </w:tc>
      </w:tr>
      <w:tr>
        <w:trPr>
          <w:trHeight w:val="2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6 698</w:t>
            </w:r>
          </w:p>
        </w:tc>
      </w:tr>
      <w:tr>
        <w:trPr>
          <w:trHeight w:val="24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6 698</w:t>
            </w:r>
          </w:p>
        </w:tc>
      </w:tr>
      <w:tr>
        <w:trPr>
          <w:trHeight w:val="58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338 285</w:t>
            </w:r>
          </w:p>
        </w:tc>
      </w:tr>
      <w:tr>
        <w:trPr>
          <w:trHeight w:val="73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222 685</w:t>
            </w:r>
          </w:p>
        </w:tc>
      </w:tr>
      <w:tr>
        <w:trPr>
          <w:trHeight w:val="78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222 685</w:t>
            </w:r>
          </w:p>
        </w:tc>
      </w:tr>
      <w:tr>
        <w:trPr>
          <w:trHeight w:val="46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115 600</w:t>
            </w:r>
          </w:p>
        </w:tc>
      </w:tr>
      <w:tr>
        <w:trPr>
          <w:trHeight w:val="22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  <w:tr>
        <w:trPr>
          <w:trHeight w:val="37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</w:p>
        </w:tc>
      </w:tr>
      <w:tr>
        <w:trPr>
          <w:trHeight w:val="46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5 600,0</w:t>
            </w:r>
          </w:p>
        </w:tc>
      </w:tr>
      <w:tr>
        <w:trPr>
          <w:trHeight w:val="34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5 564 375</w:t>
            </w:r>
          </w:p>
        </w:tc>
      </w:tr>
      <w:tr>
        <w:trPr>
          <w:trHeight w:val="8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5 564 375</w:t>
            </w:r>
          </w:p>
        </w:tc>
      </w:tr>
      <w:tr>
        <w:trPr>
          <w:trHeight w:val="66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5 564 375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4"/>
        <w:gridCol w:w="1125"/>
        <w:gridCol w:w="826"/>
        <w:gridCol w:w="741"/>
        <w:gridCol w:w="6259"/>
        <w:gridCol w:w="2645"/>
      </w:tblGrid>
      <w:tr>
        <w:trPr>
          <w:trHeight w:val="37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группа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7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13 769 644,0</w:t>
            </w:r>
          </w:p>
        </w:tc>
      </w:tr>
      <w:tr>
        <w:trPr>
          <w:trHeight w:val="55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301 364,0</w:t>
            </w:r>
          </w:p>
        </w:tc>
      </w:tr>
      <w:tr>
        <w:trPr>
          <w:trHeight w:val="12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217 425,0</w:t>
            </w:r>
          </w:p>
        </w:tc>
      </w:tr>
      <w:tr>
        <w:trPr>
          <w:trHeight w:val="48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14 585,0</w:t>
            </w:r>
          </w:p>
        </w:tc>
      </w:tr>
      <w:tr>
        <w:trPr>
          <w:trHeight w:val="75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14 585,0</w:t>
            </w:r>
          </w:p>
        </w:tc>
      </w:tr>
      <w:tr>
        <w:trPr>
          <w:trHeight w:val="52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136 852,0</w:t>
            </w:r>
          </w:p>
        </w:tc>
      </w:tr>
      <w:tr>
        <w:trPr>
          <w:trHeight w:val="72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136 852,0</w:t>
            </w:r>
          </w:p>
        </w:tc>
      </w:tr>
      <w:tr>
        <w:trPr>
          <w:trHeight w:val="112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65 988,0</w:t>
            </w:r>
          </w:p>
        </w:tc>
      </w:tr>
      <w:tr>
        <w:trPr>
          <w:trHeight w:val="133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65 988,0 </w:t>
            </w:r>
          </w:p>
        </w:tc>
      </w:tr>
      <w:tr>
        <w:trPr>
          <w:trHeight w:val="37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41 269,0</w:t>
            </w:r>
          </w:p>
        </w:tc>
      </w:tr>
      <w:tr>
        <w:trPr>
          <w:trHeight w:val="49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41 269,0</w:t>
            </w:r>
          </w:p>
        </w:tc>
      </w:tr>
      <w:tr>
        <w:trPr>
          <w:trHeight w:val="43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36 123,0</w:t>
            </w:r>
          </w:p>
        </w:tc>
      </w:tr>
      <w:tr>
        <w:trPr>
          <w:trHeight w:val="37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326,0</w:t>
            </w:r>
          </w:p>
        </w:tc>
      </w:tr>
      <w:tr>
        <w:trPr>
          <w:trHeight w:val="43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1 934,0</w:t>
            </w:r>
          </w:p>
        </w:tc>
      </w:tr>
      <w:tr>
        <w:trPr>
          <w:trHeight w:val="112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2 662,0</w:t>
            </w:r>
          </w:p>
        </w:tc>
      </w:tr>
      <w:tr>
        <w:trPr>
          <w:trHeight w:val="112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224,0</w:t>
            </w:r>
          </w:p>
        </w:tc>
      </w:tr>
      <w:tr>
        <w:trPr>
          <w:trHeight w:val="82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42 670,0</w:t>
            </w:r>
          </w:p>
        </w:tc>
      </w:tr>
      <w:tr>
        <w:trPr>
          <w:trHeight w:val="82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42 670,0</w:t>
            </w:r>
          </w:p>
        </w:tc>
      </w:tr>
      <w:tr>
        <w:trPr>
          <w:trHeight w:val="75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экономики и бюджетного планирования 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42 670,0</w:t>
            </w:r>
          </w:p>
        </w:tc>
      </w:tr>
      <w:tr>
        <w:trPr>
          <w:trHeight w:val="24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32 800,0</w:t>
            </w:r>
          </w:p>
        </w:tc>
      </w:tr>
      <w:tr>
        <w:trPr>
          <w:trHeight w:val="25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28 290,0</w:t>
            </w:r>
          </w:p>
        </w:tc>
      </w:tr>
      <w:tr>
        <w:trPr>
          <w:trHeight w:val="52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28 290,0</w:t>
            </w:r>
          </w:p>
        </w:tc>
      </w:tr>
      <w:tr>
        <w:trPr>
          <w:trHeight w:val="75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28 290,0</w:t>
            </w:r>
          </w:p>
        </w:tc>
      </w:tr>
      <w:tr>
        <w:trPr>
          <w:trHeight w:val="48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4 510,0</w:t>
            </w:r>
          </w:p>
        </w:tc>
      </w:tr>
      <w:tr>
        <w:trPr>
          <w:trHeight w:val="51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4 510,0</w:t>
            </w:r>
          </w:p>
        </w:tc>
      </w:tr>
      <w:tr>
        <w:trPr>
          <w:trHeight w:val="193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4 510,0</w:t>
            </w:r>
          </w:p>
        </w:tc>
      </w:tr>
      <w:tr>
        <w:trPr>
          <w:trHeight w:val="109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105 593,0</w:t>
            </w:r>
          </w:p>
        </w:tc>
      </w:tr>
      <w:tr>
        <w:trPr>
          <w:trHeight w:val="37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105 593,0</w:t>
            </w:r>
          </w:p>
        </w:tc>
      </w:tr>
      <w:tr>
        <w:trPr>
          <w:trHeight w:val="127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105 593,0</w:t>
            </w:r>
          </w:p>
        </w:tc>
      </w:tr>
      <w:tr>
        <w:trPr>
          <w:trHeight w:val="75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105 593,0</w:t>
            </w:r>
          </w:p>
        </w:tc>
      </w:tr>
      <w:tr>
        <w:trPr>
          <w:trHeight w:val="22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5 443 310,0</w:t>
            </w:r>
          </w:p>
        </w:tc>
      </w:tr>
      <w:tr>
        <w:trPr>
          <w:trHeight w:val="37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395 801,0</w:t>
            </w:r>
          </w:p>
        </w:tc>
      </w:tr>
      <w:tr>
        <w:trPr>
          <w:trHeight w:val="49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395 801,0</w:t>
            </w:r>
          </w:p>
        </w:tc>
      </w:tr>
      <w:tr>
        <w:trPr>
          <w:trHeight w:val="75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395 801,0</w:t>
            </w:r>
          </w:p>
        </w:tc>
      </w:tr>
      <w:tr>
        <w:trPr>
          <w:trHeight w:val="75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3 953 747,0</w:t>
            </w:r>
          </w:p>
        </w:tc>
      </w:tr>
      <w:tr>
        <w:trPr>
          <w:trHeight w:val="48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3 953 747,0</w:t>
            </w:r>
          </w:p>
        </w:tc>
      </w:tr>
      <w:tr>
        <w:trPr>
          <w:trHeight w:val="25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3 595 316,0</w:t>
            </w:r>
          </w:p>
        </w:tc>
      </w:tr>
      <w:tr>
        <w:trPr>
          <w:trHeight w:val="43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179 660,0</w:t>
            </w:r>
          </w:p>
        </w:tc>
      </w:tr>
      <w:tr>
        <w:trPr>
          <w:trHeight w:val="130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178 771,0</w:t>
            </w:r>
          </w:p>
        </w:tc>
      </w:tr>
      <w:tr>
        <w:trPr>
          <w:trHeight w:val="73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85 596,0</w:t>
            </w:r>
          </w:p>
        </w:tc>
      </w:tr>
      <w:tr>
        <w:trPr>
          <w:trHeight w:val="45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85 596,0</w:t>
            </w:r>
          </w:p>
        </w:tc>
      </w:tr>
      <w:tr>
        <w:trPr>
          <w:trHeight w:val="57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85 596,0</w:t>
            </w:r>
          </w:p>
        </w:tc>
      </w:tr>
      <w:tr>
        <w:trPr>
          <w:trHeight w:val="36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1 008 166,0</w:t>
            </w:r>
          </w:p>
        </w:tc>
      </w:tr>
      <w:tr>
        <w:trPr>
          <w:trHeight w:val="51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656 716,0</w:t>
            </w:r>
          </w:p>
        </w:tc>
      </w:tr>
      <w:tr>
        <w:trPr>
          <w:trHeight w:val="49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19 810,0</w:t>
            </w:r>
          </w:p>
        </w:tc>
      </w:tr>
      <w:tr>
        <w:trPr>
          <w:trHeight w:val="111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8 971,0</w:t>
            </w:r>
          </w:p>
        </w:tc>
      </w:tr>
      <w:tr>
        <w:trPr>
          <w:trHeight w:val="156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96 258,0</w:t>
            </w:r>
          </w:p>
        </w:tc>
      </w:tr>
      <w:tr>
        <w:trPr>
          <w:trHeight w:val="112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и конкурсов районного (городского) масштаба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9 490,0</w:t>
            </w:r>
          </w:p>
        </w:tc>
      </w:tr>
      <w:tr>
        <w:trPr>
          <w:trHeight w:val="120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522 187,0</w:t>
            </w:r>
          </w:p>
        </w:tc>
      </w:tr>
      <w:tr>
        <w:trPr>
          <w:trHeight w:val="61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351 450,0</w:t>
            </w:r>
          </w:p>
        </w:tc>
      </w:tr>
      <w:tr>
        <w:trPr>
          <w:trHeight w:val="58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351 450,0</w:t>
            </w:r>
          </w:p>
        </w:tc>
      </w:tr>
      <w:tr>
        <w:trPr>
          <w:trHeight w:val="39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962 716,0</w:t>
            </w:r>
          </w:p>
        </w:tc>
      </w:tr>
      <w:tr>
        <w:trPr>
          <w:trHeight w:val="25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887 741,0</w:t>
            </w:r>
          </w:p>
        </w:tc>
      </w:tr>
      <w:tr>
        <w:trPr>
          <w:trHeight w:val="76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877 896,0</w:t>
            </w:r>
          </w:p>
        </w:tc>
      </w:tr>
      <w:tr>
        <w:trPr>
          <w:trHeight w:val="24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302 752,0</w:t>
            </w:r>
          </w:p>
        </w:tc>
      </w:tr>
      <w:tr>
        <w:trPr>
          <w:trHeight w:val="52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4 945,0</w:t>
            </w:r>
          </w:p>
        </w:tc>
      </w:tr>
      <w:tr>
        <w:trPr>
          <w:trHeight w:val="57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87 394,0</w:t>
            </w:r>
          </w:p>
        </w:tc>
      </w:tr>
      <w:tr>
        <w:trPr>
          <w:trHeight w:val="18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24 515,0</w:t>
            </w:r>
          </w:p>
        </w:tc>
      </w:tr>
      <w:tr>
        <w:trPr>
          <w:trHeight w:val="112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210 465,0</w:t>
            </w:r>
          </w:p>
        </w:tc>
      </w:tr>
      <w:tr>
        <w:trPr>
          <w:trHeight w:val="78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41 245,0</w:t>
            </w:r>
          </w:p>
        </w:tc>
      </w:tr>
      <w:tr>
        <w:trPr>
          <w:trHeight w:val="75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41 115,0</w:t>
            </w:r>
          </w:p>
        </w:tc>
      </w:tr>
      <w:tr>
        <w:trPr>
          <w:trHeight w:val="52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111 607,0</w:t>
            </w:r>
          </w:p>
        </w:tc>
      </w:tr>
      <w:tr>
        <w:trPr>
          <w:trHeight w:val="42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32 888,0</w:t>
            </w:r>
          </w:p>
        </w:tc>
      </w:tr>
      <w:tr>
        <w:trPr>
          <w:trHeight w:val="214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20 970,0</w:t>
            </w:r>
          </w:p>
        </w:tc>
      </w:tr>
      <w:tr>
        <w:trPr>
          <w:trHeight w:val="54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9 845,0</w:t>
            </w:r>
          </w:p>
        </w:tc>
      </w:tr>
      <w:tr>
        <w:trPr>
          <w:trHeight w:val="102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9 845,0</w:t>
            </w:r>
          </w:p>
        </w:tc>
      </w:tr>
      <w:tr>
        <w:trPr>
          <w:trHeight w:val="75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74 975,0</w:t>
            </w:r>
          </w:p>
        </w:tc>
      </w:tr>
      <w:tr>
        <w:trPr>
          <w:trHeight w:val="79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74 975,0</w:t>
            </w:r>
          </w:p>
        </w:tc>
      </w:tr>
      <w:tr>
        <w:trPr>
          <w:trHeight w:val="76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72 701,0</w:t>
            </w:r>
          </w:p>
        </w:tc>
      </w:tr>
      <w:tr>
        <w:trPr>
          <w:trHeight w:val="69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2 274,0</w:t>
            </w:r>
          </w:p>
        </w:tc>
      </w:tr>
      <w:tr>
        <w:trPr>
          <w:trHeight w:val="37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2 985 284,0</w:t>
            </w:r>
          </w:p>
        </w:tc>
      </w:tr>
      <w:tr>
        <w:trPr>
          <w:trHeight w:val="25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757 760,7</w:t>
            </w:r>
          </w:p>
        </w:tc>
      </w:tr>
      <w:tr>
        <w:trPr>
          <w:trHeight w:val="49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757 760,7</w:t>
            </w:r>
          </w:p>
        </w:tc>
      </w:tr>
      <w:tr>
        <w:trPr>
          <w:trHeight w:val="100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27 516,0</w:t>
            </w:r>
          </w:p>
        </w:tc>
      </w:tr>
      <w:tr>
        <w:trPr>
          <w:trHeight w:val="103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382 262,7</w:t>
            </w:r>
          </w:p>
        </w:tc>
      </w:tr>
      <w:tr>
        <w:trPr>
          <w:trHeight w:val="39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347 982,0</w:t>
            </w:r>
          </w:p>
        </w:tc>
      </w:tr>
      <w:tr>
        <w:trPr>
          <w:trHeight w:val="22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1 880 093,3</w:t>
            </w:r>
          </w:p>
        </w:tc>
      </w:tr>
      <w:tr>
        <w:trPr>
          <w:trHeight w:val="112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549,0</w:t>
            </w:r>
          </w:p>
        </w:tc>
      </w:tr>
      <w:tr>
        <w:trPr>
          <w:trHeight w:val="45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549,0</w:t>
            </w:r>
          </w:p>
        </w:tc>
      </w:tr>
      <w:tr>
        <w:trPr>
          <w:trHeight w:val="132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1 611 355,0</w:t>
            </w:r>
          </w:p>
        </w:tc>
      </w:tr>
      <w:tr>
        <w:trPr>
          <w:trHeight w:val="49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33 350,0</w:t>
            </w:r>
          </w:p>
        </w:tc>
      </w:tr>
      <w:tr>
        <w:trPr>
          <w:trHeight w:val="184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1 578 005,0</w:t>
            </w:r>
          </w:p>
        </w:tc>
      </w:tr>
      <w:tr>
        <w:trPr>
          <w:trHeight w:val="48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268 189,3</w:t>
            </w:r>
          </w:p>
        </w:tc>
      </w:tr>
      <w:tr>
        <w:trPr>
          <w:trHeight w:val="52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</w:tr>
      <w:tr>
        <w:trPr>
          <w:trHeight w:val="37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107 301,3</w:t>
            </w:r>
          </w:p>
        </w:tc>
      </w:tr>
      <w:tr>
        <w:trPr>
          <w:trHeight w:val="150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реализации стратегии региональной занятости и переподготовки кадров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160 780,0</w:t>
            </w:r>
          </w:p>
        </w:tc>
      </w:tr>
      <w:tr>
        <w:trPr>
          <w:trHeight w:val="46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347 430,0</w:t>
            </w:r>
          </w:p>
        </w:tc>
      </w:tr>
      <w:tr>
        <w:trPr>
          <w:trHeight w:val="112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5 360,0</w:t>
            </w:r>
          </w:p>
        </w:tc>
      </w:tr>
      <w:tr>
        <w:trPr>
          <w:trHeight w:val="42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5 360,0</w:t>
            </w:r>
          </w:p>
        </w:tc>
      </w:tr>
      <w:tr>
        <w:trPr>
          <w:trHeight w:val="136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342 070,0</w:t>
            </w:r>
          </w:p>
        </w:tc>
      </w:tr>
      <w:tr>
        <w:trPr>
          <w:trHeight w:val="37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122 985,0</w:t>
            </w:r>
          </w:p>
        </w:tc>
      </w:tr>
      <w:tr>
        <w:trPr>
          <w:trHeight w:val="51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32 546,0</w:t>
            </w:r>
          </w:p>
        </w:tc>
      </w:tr>
      <w:tr>
        <w:trPr>
          <w:trHeight w:val="45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6 778,0</w:t>
            </w:r>
          </w:p>
        </w:tc>
      </w:tr>
      <w:tr>
        <w:trPr>
          <w:trHeight w:val="49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179 761,0</w:t>
            </w:r>
          </w:p>
        </w:tc>
      </w:tr>
      <w:tr>
        <w:trPr>
          <w:trHeight w:val="75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433 930,0</w:t>
            </w:r>
          </w:p>
        </w:tc>
      </w:tr>
      <w:tr>
        <w:trPr>
          <w:trHeight w:val="37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142 874,0</w:t>
            </w:r>
          </w:p>
        </w:tc>
      </w:tr>
      <w:tr>
        <w:trPr>
          <w:trHeight w:val="75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112 084,0</w:t>
            </w:r>
          </w:p>
        </w:tc>
      </w:tr>
      <w:tr>
        <w:trPr>
          <w:trHeight w:val="46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112 084,0</w:t>
            </w:r>
          </w:p>
        </w:tc>
      </w:tr>
      <w:tr>
        <w:trPr>
          <w:trHeight w:val="51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30 790,0</w:t>
            </w:r>
          </w:p>
        </w:tc>
      </w:tr>
      <w:tr>
        <w:trPr>
          <w:trHeight w:val="22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30 790,0</w:t>
            </w:r>
          </w:p>
        </w:tc>
      </w:tr>
      <w:tr>
        <w:trPr>
          <w:trHeight w:val="28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79 310,0</w:t>
            </w:r>
          </w:p>
        </w:tc>
      </w:tr>
      <w:tr>
        <w:trPr>
          <w:trHeight w:val="75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79 310,0</w:t>
            </w:r>
          </w:p>
        </w:tc>
      </w:tr>
      <w:tr>
        <w:trPr>
          <w:trHeight w:val="7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1 948,0</w:t>
            </w:r>
          </w:p>
        </w:tc>
      </w:tr>
      <w:tr>
        <w:trPr>
          <w:trHeight w:val="82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19 251,0</w:t>
            </w:r>
          </w:p>
        </w:tc>
      </w:tr>
      <w:tr>
        <w:trPr>
          <w:trHeight w:val="156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58 111,0</w:t>
            </w:r>
          </w:p>
        </w:tc>
      </w:tr>
      <w:tr>
        <w:trPr>
          <w:trHeight w:val="37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125 854,0</w:t>
            </w:r>
          </w:p>
        </w:tc>
      </w:tr>
      <w:tr>
        <w:trPr>
          <w:trHeight w:val="27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76 794,0</w:t>
            </w:r>
          </w:p>
        </w:tc>
      </w:tr>
      <w:tr>
        <w:trPr>
          <w:trHeight w:val="16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73 509,0</w:t>
            </w:r>
          </w:p>
        </w:tc>
      </w:tr>
      <w:tr>
        <w:trPr>
          <w:trHeight w:val="25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3 285,0</w:t>
            </w:r>
          </w:p>
        </w:tc>
      </w:tr>
      <w:tr>
        <w:trPr>
          <w:trHeight w:val="7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49 060,0</w:t>
            </w:r>
          </w:p>
        </w:tc>
      </w:tr>
      <w:tr>
        <w:trPr>
          <w:trHeight w:val="52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49 060,0</w:t>
            </w:r>
          </w:p>
        </w:tc>
      </w:tr>
      <w:tr>
        <w:trPr>
          <w:trHeight w:val="112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85 892,0</w:t>
            </w:r>
          </w:p>
        </w:tc>
      </w:tr>
      <w:tr>
        <w:trPr>
          <w:trHeight w:val="67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49 900,0</w:t>
            </w:r>
          </w:p>
        </w:tc>
      </w:tr>
      <w:tr>
        <w:trPr>
          <w:trHeight w:val="73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16 742,0</w:t>
            </w:r>
          </w:p>
        </w:tc>
      </w:tr>
      <w:tr>
        <w:trPr>
          <w:trHeight w:val="49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33 158,0</w:t>
            </w:r>
          </w:p>
        </w:tc>
      </w:tr>
      <w:tr>
        <w:trPr>
          <w:trHeight w:val="40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28 997,0</w:t>
            </w:r>
          </w:p>
        </w:tc>
      </w:tr>
      <w:tr>
        <w:trPr>
          <w:trHeight w:val="21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20 792,0</w:t>
            </w:r>
          </w:p>
        </w:tc>
      </w:tr>
      <w:tr>
        <w:trPr>
          <w:trHeight w:val="43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8 205,0</w:t>
            </w:r>
          </w:p>
        </w:tc>
      </w:tr>
      <w:tr>
        <w:trPr>
          <w:trHeight w:val="75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6 995,0</w:t>
            </w:r>
          </w:p>
        </w:tc>
      </w:tr>
      <w:tr>
        <w:trPr>
          <w:trHeight w:val="22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6 995,0</w:t>
            </w:r>
          </w:p>
        </w:tc>
      </w:tr>
      <w:tr>
        <w:trPr>
          <w:trHeight w:val="30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2 288 954,1</w:t>
            </w:r>
          </w:p>
        </w:tc>
      </w:tr>
      <w:tr>
        <w:trPr>
          <w:trHeight w:val="36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2 288 954,1</w:t>
            </w:r>
          </w:p>
        </w:tc>
      </w:tr>
      <w:tr>
        <w:trPr>
          <w:trHeight w:val="7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2 288 954,1</w:t>
            </w:r>
          </w:p>
        </w:tc>
      </w:tr>
      <w:tr>
        <w:trPr>
          <w:trHeight w:val="34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2 288 954,1</w:t>
            </w:r>
          </w:p>
        </w:tc>
      </w:tr>
      <w:tr>
        <w:trPr>
          <w:trHeight w:val="156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33 314,0</w:t>
            </w:r>
          </w:p>
        </w:tc>
      </w:tr>
      <w:tr>
        <w:trPr>
          <w:trHeight w:val="21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15 680,0</w:t>
            </w:r>
          </w:p>
        </w:tc>
      </w:tr>
      <w:tr>
        <w:trPr>
          <w:trHeight w:val="55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13 898,0</w:t>
            </w:r>
          </w:p>
        </w:tc>
      </w:tr>
      <w:tr>
        <w:trPr>
          <w:trHeight w:val="51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13 898,0</w:t>
            </w:r>
          </w:p>
        </w:tc>
      </w:tr>
      <w:tr>
        <w:trPr>
          <w:trHeight w:val="76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1 782,0</w:t>
            </w:r>
          </w:p>
        </w:tc>
      </w:tr>
      <w:tr>
        <w:trPr>
          <w:trHeight w:val="76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1 782,0</w:t>
            </w:r>
          </w:p>
        </w:tc>
      </w:tr>
      <w:tr>
        <w:trPr>
          <w:trHeight w:val="21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17 634,0</w:t>
            </w:r>
          </w:p>
        </w:tc>
      </w:tr>
      <w:tr>
        <w:trPr>
          <w:trHeight w:val="3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17 634,0</w:t>
            </w:r>
          </w:p>
        </w:tc>
      </w:tr>
      <w:tr>
        <w:trPr>
          <w:trHeight w:val="40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17 634,0</w:t>
            </w:r>
          </w:p>
        </w:tc>
      </w:tr>
      <w:tr>
        <w:trPr>
          <w:trHeight w:val="64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25 750,0</w:t>
            </w:r>
          </w:p>
        </w:tc>
      </w:tr>
      <w:tr>
        <w:trPr>
          <w:trHeight w:val="75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25 750,0</w:t>
            </w:r>
          </w:p>
        </w:tc>
      </w:tr>
      <w:tr>
        <w:trPr>
          <w:trHeight w:val="75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14 441,0</w:t>
            </w:r>
          </w:p>
        </w:tc>
      </w:tr>
      <w:tr>
        <w:trPr>
          <w:trHeight w:val="45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14 441,0</w:t>
            </w:r>
          </w:p>
        </w:tc>
      </w:tr>
      <w:tr>
        <w:trPr>
          <w:trHeight w:val="70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11 309,0</w:t>
            </w:r>
          </w:p>
        </w:tc>
      </w:tr>
      <w:tr>
        <w:trPr>
          <w:trHeight w:val="27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11 309,0</w:t>
            </w:r>
          </w:p>
        </w:tc>
      </w:tr>
      <w:tr>
        <w:trPr>
          <w:trHeight w:val="19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956 579,0</w:t>
            </w:r>
          </w:p>
        </w:tc>
      </w:tr>
      <w:tr>
        <w:trPr>
          <w:trHeight w:val="25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875 292,0</w:t>
            </w:r>
          </w:p>
        </w:tc>
      </w:tr>
      <w:tr>
        <w:trPr>
          <w:trHeight w:val="105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875 292,0</w:t>
            </w:r>
          </w:p>
        </w:tc>
      </w:tr>
      <w:tr>
        <w:trPr>
          <w:trHeight w:val="37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393 749,0</w:t>
            </w:r>
          </w:p>
        </w:tc>
      </w:tr>
      <w:tr>
        <w:trPr>
          <w:trHeight w:val="19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481 543,0</w:t>
            </w:r>
          </w:p>
        </w:tc>
      </w:tr>
      <w:tr>
        <w:trPr>
          <w:trHeight w:val="34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81 287,0</w:t>
            </w:r>
          </w:p>
        </w:tc>
      </w:tr>
      <w:tr>
        <w:trPr>
          <w:trHeight w:val="108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81 287,0</w:t>
            </w:r>
          </w:p>
        </w:tc>
      </w:tr>
      <w:tr>
        <w:trPr>
          <w:trHeight w:val="181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 улиц,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80 287,0</w:t>
            </w:r>
          </w:p>
        </w:tc>
      </w:tr>
      <w:tr>
        <w:trPr>
          <w:trHeight w:val="112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12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169 608,0</w:t>
            </w:r>
          </w:p>
        </w:tc>
      </w:tr>
      <w:tr>
        <w:trPr>
          <w:trHeight w:val="75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18 517,0</w:t>
            </w:r>
          </w:p>
        </w:tc>
      </w:tr>
      <w:tr>
        <w:trPr>
          <w:trHeight w:val="36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18 517,0</w:t>
            </w:r>
          </w:p>
        </w:tc>
      </w:tr>
      <w:tr>
        <w:trPr>
          <w:trHeight w:val="48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18 517,0</w:t>
            </w:r>
          </w:p>
        </w:tc>
      </w:tr>
      <w:tr>
        <w:trPr>
          <w:trHeight w:val="25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151 091,0</w:t>
            </w:r>
          </w:p>
        </w:tc>
      </w:tr>
      <w:tr>
        <w:trPr>
          <w:trHeight w:val="31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98 200,0</w:t>
            </w:r>
          </w:p>
        </w:tc>
      </w:tr>
      <w:tr>
        <w:trPr>
          <w:trHeight w:val="84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98 200,0</w:t>
            </w:r>
          </w:p>
        </w:tc>
      </w:tr>
      <w:tr>
        <w:trPr>
          <w:trHeight w:val="79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8 400,0</w:t>
            </w:r>
          </w:p>
        </w:tc>
      </w:tr>
      <w:tr>
        <w:trPr>
          <w:trHeight w:val="150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(программ) и проведение его экспертизы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8 400,0</w:t>
            </w:r>
          </w:p>
        </w:tc>
      </w:tr>
      <w:tr>
        <w:trPr>
          <w:trHeight w:val="132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44 491,0</w:t>
            </w:r>
          </w:p>
        </w:tc>
      </w:tr>
      <w:tr>
        <w:trPr>
          <w:trHeight w:val="6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44 491,0</w:t>
            </w:r>
          </w:p>
        </w:tc>
      </w:tr>
      <w:tr>
        <w:trPr>
          <w:trHeight w:val="25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30 441,9</w:t>
            </w:r>
          </w:p>
        </w:tc>
      </w:tr>
      <w:tr>
        <w:trPr>
          <w:trHeight w:val="19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30 441,9</w:t>
            </w:r>
          </w:p>
        </w:tc>
      </w:tr>
      <w:tr>
        <w:trPr>
          <w:trHeight w:val="75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30 441,9</w:t>
            </w:r>
          </w:p>
        </w:tc>
      </w:tr>
      <w:tr>
        <w:trPr>
          <w:trHeight w:val="81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30 441,9</w:t>
            </w:r>
          </w:p>
        </w:tc>
      </w:tr>
      <w:tr>
        <w:trPr>
          <w:trHeight w:val="37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Чистое бюджетное кредитование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Сальдо по операциям с финансовыми активами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11 000,0</w:t>
            </w:r>
          </w:p>
        </w:tc>
      </w:tr>
      <w:tr>
        <w:trPr>
          <w:trHeight w:val="37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11 000,0</w:t>
            </w:r>
          </w:p>
        </w:tc>
      </w:tr>
      <w:tr>
        <w:trPr>
          <w:trHeight w:val="10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11 000,0</w:t>
            </w:r>
          </w:p>
        </w:tc>
      </w:tr>
      <w:tr>
        <w:trPr>
          <w:trHeight w:val="12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11 000,0</w:t>
            </w:r>
          </w:p>
        </w:tc>
      </w:tr>
      <w:tr>
        <w:trPr>
          <w:trHeight w:val="3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11 000,0</w:t>
            </w:r>
          </w:p>
        </w:tc>
      </w:tr>
      <w:tr>
        <w:trPr>
          <w:trHeight w:val="7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11 000,0</w:t>
            </w:r>
          </w:p>
        </w:tc>
      </w:tr>
      <w:tr>
        <w:trPr>
          <w:trHeight w:val="31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Дефицит (профицит) бюджета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-368 616,0</w:t>
            </w:r>
          </w:p>
        </w:tc>
      </w:tr>
      <w:tr>
        <w:trPr>
          <w:trHeight w:val="39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VII. Финансирование дефицита (использование профицита) бюджета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368 616,0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от 24 апреля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17/132-IV</w:t>
      </w:r>
    </w:p>
    <w:bookmarkEnd w:id="3"/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развития на 2009 год на </w:t>
      </w:r>
      <w:r>
        <w:br/>
      </w:r>
      <w:r>
        <w:rPr>
          <w:rFonts w:ascii="Times New Roman"/>
          <w:b/>
          <w:i w:val="false"/>
          <w:color w:val="000000"/>
        </w:rPr>
        <w:t>
реализацию бюджетных инвестиционных проектов (программ)</w:t>
      </w:r>
      <w:r>
        <w:br/>
      </w:r>
      <w:r>
        <w:rPr>
          <w:rFonts w:ascii="Times New Roman"/>
          <w:b/>
          <w:i w:val="false"/>
          <w:color w:val="000000"/>
        </w:rPr>
        <w:t>
и на формирование или увеличение уставного капитала</w:t>
      </w:r>
      <w:r>
        <w:br/>
      </w:r>
      <w:r>
        <w:rPr>
          <w:rFonts w:ascii="Times New Roman"/>
          <w:b/>
          <w:i w:val="false"/>
          <w:color w:val="000000"/>
        </w:rPr>
        <w:t>
юридических лиц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4"/>
        <w:gridCol w:w="1425"/>
        <w:gridCol w:w="1465"/>
        <w:gridCol w:w="8206"/>
      </w:tblGrid>
      <w:tr>
        <w:trPr>
          <w:trHeight w:val="36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группа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7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15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315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15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75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6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среднего образования</w:t>
            </w:r>
          </w:p>
        </w:tc>
      </w:tr>
      <w:tr>
        <w:trPr>
          <w:trHeight w:val="345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405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85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165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165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165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165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</w:tr>
      <w:tr>
        <w:trPr>
          <w:trHeight w:val="9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9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</w:p>
        </w:tc>
      </w:tr>
      <w:tr>
        <w:trPr>
          <w:trHeight w:val="9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реализации стратегии региональной занятости и переподготовки кадров</w:t>
            </w:r>
          </w:p>
        </w:tc>
      </w:tr>
      <w:tr>
        <w:trPr>
          <w:trHeight w:val="27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42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3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3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18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6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54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18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6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    К. Мирашев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