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a134" w14:textId="477a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июля 2009 года N 17/3. Зарегистрировано Управлением юстиции района Шал акына Северо-Казахстанской области 17 августа 2009 года N 13-14-80. Утратило силу (письмо маслихата района Шал акына Северо-Казахстанской области 9 октября 2013 года N 02-04/195)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Шал акына Северо-Казахстанской области 09.10.2013 N 02-04/195)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№148-11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района Шал акына от 25 декабря 2008 года № 11/2 «О районном бюджете на 2009 </w:t>
      </w:r>
      <w:r>
        <w:rPr>
          <w:rFonts w:ascii="Times New Roman"/>
          <w:b w:val="false"/>
          <w:i w:val="false"/>
          <w:color w:val="333333"/>
          <w:sz w:val="28"/>
        </w:rPr>
        <w:t>год» (зарегистрировано в Реестре государственной регистрации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13-14-69 от 22 января 2009 года, опубликовано в районной газете «Парыз» от 30 января 2009 года № 5 и районной газете «Новатор» от 30 января 2009 года № 5) с учетом изменений, внесенных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районного маслихата от 31 марта 2009 года № 13/2 «О внесении изменений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№ 13-14-74 от 10 апреля 2009 года, опубликовано в районной газете «Парыз» от 24 апреля 2009 года № 17 и районной газете  «Новатор» от 24 апреля 2009 года № 17) с учетом изменений, внесенных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ХIV сессии районного маслихата от 28 апреля 2009 года № 14/1 «О внесении изменений и дополнений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13-14-76 от 19 мая 2009 года, опубликовано в районной газете «Парыз» от 29 мая 2009 года № 22 и районной газете «Новатор» от 29 мая 2009 года № 22),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«1258871»заменить цифрами «1269904,0»;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«163251» заменить цифрами «176266»;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«3200» заменить цифрами «1185»;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«1076809» заменить цифрами «1076842»;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«1262705,3» заменить цифрами «1273538,3»;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4, 5, 6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Садыков                                 Н. Дятлов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 от 27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673"/>
        <w:gridCol w:w="7333"/>
        <w:gridCol w:w="195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1269904,0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62711,2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4106,5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13"/>
        <w:gridCol w:w="913"/>
        <w:gridCol w:w="6373"/>
        <w:gridCol w:w="1893"/>
      </w:tblGrid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1273538,3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61777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61777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859123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772525</w:t>
            </w:r>
          </w:p>
        </w:tc>
      </w:tr>
      <w:tr>
        <w:trPr>
          <w:trHeight w:val="12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104600,4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92228,4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</w:p>
        </w:tc>
      </w:tr>
      <w:tr>
        <w:trPr>
          <w:trHeight w:val="15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5110,1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</w:t>
            </w:r>
          </w:p>
        </w:tc>
      </w:tr>
      <w:tr>
        <w:trPr>
          <w:trHeight w:val="15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3480,3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62883,6</w:t>
            </w:r>
          </w:p>
        </w:tc>
      </w:tr>
      <w:tr>
        <w:trPr>
          <w:trHeight w:val="12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20443,6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20443,6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12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12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0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9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8328,4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3413,4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6)Финансирование дефицита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 от 27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913"/>
        <w:gridCol w:w="933"/>
        <w:gridCol w:w="6033"/>
        <w:gridCol w:w="1233"/>
      </w:tblGrid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9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водоисточника с.Жалтырь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ПСД, госэкспертиза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прицепа для КГП "Жардем"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 от 27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93"/>
        <w:gridCol w:w="953"/>
        <w:gridCol w:w="1033"/>
        <w:gridCol w:w="1113"/>
        <w:gridCol w:w="1093"/>
        <w:gridCol w:w="2133"/>
        <w:gridCol w:w="1573"/>
      </w:tblGrid>
      <w:tr>
        <w:trPr>
          <w:trHeight w:val="3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и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 биб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приори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тетных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 в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ках, аулах (селах), аульных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округах в рамках 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страте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перепод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кадров 123.019.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92920,6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 от 27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313"/>
        <w:gridCol w:w="1013"/>
        <w:gridCol w:w="4313"/>
        <w:gridCol w:w="1373"/>
        <w:gridCol w:w="1293"/>
        <w:gridCol w:w="1033"/>
      </w:tblGrid>
      <w:tr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трансферты тысяч тенге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 от 27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33"/>
        <w:gridCol w:w="1073"/>
        <w:gridCol w:w="4273"/>
        <w:gridCol w:w="1333"/>
        <w:gridCol w:w="1353"/>
        <w:gridCol w:w="1073"/>
      </w:tblGrid>
      <w:tr>
        <w:trPr>
          <w:trHeight w:val="54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тысяч тенге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 пунктов в рамках реализации стратегии региональной занятости и переподготовки кадров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