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441d" w14:textId="4de4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Тимирязевского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Тимирязевского района Северо-Казахстанской области от 25 декабря 2009 года N 19/1. Зарегистрировано управлением юстиции Тимирязевского района Северо-Казахстанской области 14 января 2010 года N 13-12-100. Утратило силу - решением маслихата Тимирязевского района Северо-Казахстанской области от 28 марта 2011 года N 31/7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28.03.2011 N 31/7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районный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Тимирязевского района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1 280 451,1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158 763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1 105 907,1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1 295 634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7788,7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погашение бюджетных кредитов - 222,3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-22971,6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22971,6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погашение займов – 222,3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используемые остатки бюджетных средств – 15182,9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Тимирязевского района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29.07.2010 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000000"/>
          <w:sz w:val="28"/>
        </w:rPr>
        <w:t>N 27/5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24.12.2010 </w:t>
      </w:r>
      <w:r>
        <w:rPr>
          <w:rFonts w:ascii="Times New Roman"/>
          <w:b w:val="false"/>
          <w:i w:val="false"/>
          <w:color w:val="000000"/>
          <w:sz w:val="28"/>
        </w:rPr>
        <w:t>N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2010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 (по нормативам распределения доходов, установленным решением областного маслихата от 20 декабря 2009 года № 20/1 «Об областном бюджете Северо-Казахстанской области на 2010-2012 годы»);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продажи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предусмотрены бюджетные субвенции, передаваемые из областного бюджета на 2010 год в сумме 754 857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районного бюджета на 2010 год не подлежат секвестру местные бюджетные программы,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2010 год целевые текущие трансферты в областной бюджет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Законом Республики Казахстан «Об объемах трансфертов общего характера между республиканским и областными бюджетами, города республиканского значения, столицы на 2008-2010 годы» от 27 ноября 2007 года в сумме 40828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Тимирязевского района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2010 год предусмотрены средства на реализацию стратегии региональной занятости и переподготовки кадров в сумме 88700,1 тысяч тенге, из них за счет республиканского бюджета 70551,1 тысячи тенге и за счет областного бюджета 18149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24474 тысяч тенге на капитальный ремонт объектов образования (8392 тысячи тенге за счет областного бюджета и 16813 тысяч тенге за счет республиканского бюджета);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10000 тысяч тенге за счет областного бюджета на ремонт и содержание автомобильных дорог районного значения,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20030,9 тысяч тенге за счет республиканского бюджета на социальный проект (капитальный ремонт Хмельницкого сельского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22896 тысяч тенге за счет республиканского бюджета на капитальный ремонт объектов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4294,2 тысяч тенге на капитальный ремонт районного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7005 тысяч тенге на расширение программы социальных рабочих мест и молодежной практики, в том числе на социальные рабочие места 4365 тысяч тенге и молодежную практику 2640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маслихата Тимирязевского района Северо-Казахстанской области от 29.07.2010 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000000"/>
          <w:sz w:val="28"/>
        </w:rPr>
        <w:t>N 27/5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целевые текущие трансферты из республиканского бюджета в сумме 174 626 тысяч тенге,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1897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6011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в том числе на выплату государственной адресной социальной помощи 3611 тысяч тенге и на выплату государственных пособий на детей до 18 лет из малообеспеченных семей 2400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3134 тысячи тенге -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28 тысячи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15452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5307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1732 тысяч тенге на оказание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124 257 тысяч тенге на развитие и реконструкцию водопроводных сетей в с.Аксуат и с.Тимирязево.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Тимирязевского района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29.07.2010 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000000"/>
          <w:sz w:val="28"/>
        </w:rPr>
        <w:t>N 27/5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24.12.2010 </w:t>
      </w:r>
      <w:r>
        <w:rPr>
          <w:rFonts w:ascii="Times New Roman"/>
          <w:b w:val="false"/>
          <w:i w:val="false"/>
          <w:color w:val="000000"/>
          <w:sz w:val="28"/>
        </w:rPr>
        <w:t>N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9) 12203 тысячи тенге – на реализацию государственного образовательного заказа в дошкольных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дополнен подпунктом 9) в соответствии с решением маслихата Тимирязевского района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10) 4 605 тысяч тенге – на разработку проектно-сметной документации по объекту «Развитие и реконструкция водопроводных сетей в селе Тимирязево (2-ая очередь)»;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дополнен подпунктом 10) в соответствии с решением маслихата Тимирязевского района Северо-Казахстанской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05.11.2010 </w:t>
      </w:r>
      <w:r>
        <w:rPr>
          <w:rFonts w:ascii="Times New Roman"/>
          <w:b w:val="false"/>
          <w:i w:val="false"/>
          <w:color w:val="000000"/>
          <w:sz w:val="28"/>
        </w:rPr>
        <w:t>N 27/5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целевые текущие трансферты из областного бюджета в сумме 87764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4000 тысяч тенге на информатизацию системы образования в государственных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540 тысяч тенге на санаторно-курортное лечение участников и инвалидов Великой Отечественной войны и другим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226 тысяч тенге на единовременную материальную помощь участникам и инвалидам Великой Отечественной войны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68563 тысячи тенге на текущее содержание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Тимирязевского района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29.07.2010 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4169 тысячи тенге – на приобретение угля для государственных учреждений и государственных предприятий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дополнен подпунктом 4) в соответствии с решением маслихата Тимирязевского района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226 тысяч тенге на выплату социальной помощи в рамках Программы по стимулированию рождаемости «Фонд поколений.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дополнен подпунктом 5) в соответствии с решением маслихата Тимирязевского района Северо-Казахстанской области от 29.07.2010 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10000 тысяч тенге на реконструкцию 12-ти квартирного дома в селе Тимирязево по улице Школьная,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дополнен подпунктом 6) в соответствии с решением маслихата Тимирязевского района Северо-Казахстанской области от 29.07.2010 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2010 год бюджетные кредиты из республиканского бюджета 8011 тысяч тенге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2010 год в сумме 621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 Тимирязевского района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23.06.2010 </w:t>
      </w:r>
      <w:r>
        <w:rPr>
          <w:rFonts w:ascii="Times New Roman"/>
          <w:b w:val="false"/>
          <w:i w:val="false"/>
          <w:color w:val="000000"/>
          <w:sz w:val="28"/>
        </w:rPr>
        <w:t>N 24/3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Обеспечить в 2010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в расходах бюджета района на 2010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на приобретение топлива в размере 2000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Установить, что в расходах бюджета района на 2010-2012 годы предусмотрены бюджетные программы по каждому сельскому округу, согласно приложениям 5, 6 и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выплат отдельным категориям нуждающихся граждан по решению местных представительных органов на 2010 год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Установить, что на 2010 год в составе районного бюджета предусмотрены ассигнования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 приложению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решением маслихата Тимирязевского района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18-1. Предусмотреть в районном бюджете расходы за счет свободных остатков бюджетных средств, сложившихся на начало финансового года, в сумме 14493 тысяч тенге; возврат целевых трансфертов республиканского и областного бюджетов, неиспользованных в 2009 году, в сумме 689,9 тысяч тенге; погашение долга перед вышестоящим бюджетом по кредитам, выданным в 2010 году на поддержку специалистов социальной сферы на селе, в сумме 222,3 тысяч тенге согласно приложению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дополнен пунктом 18-1 в соответствии с решением маслихата Тимирязевского района Северо-Казахстанской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rPr>
          <w:rFonts w:ascii="Times New Roman"/>
          <w:b w:val="false"/>
          <w:i w:val="false"/>
          <w:color w:val="ff0000"/>
          <w:sz w:val="28"/>
        </w:rPr>
        <w:t>; в редакции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маслихата Тимирязевского района Северо-Казахстанской области от 29.07.2010 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ХIX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Наурузбаев                              А. Анненков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19/1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Тимирязевского района Северо-Казахстанской области от 24.12.2010 </w:t>
      </w:r>
      <w:r>
        <w:rPr>
          <w:rFonts w:ascii="Times New Roman"/>
          <w:b w:val="false"/>
          <w:i w:val="false"/>
          <w:color w:val="ff0000"/>
          <w:sz w:val="28"/>
        </w:rPr>
        <w:t>N 28/1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853"/>
        <w:gridCol w:w="7413"/>
        <w:gridCol w:w="23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1 280 451,1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1 105 907,1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1 105 907,1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1 105 907,1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801"/>
        <w:gridCol w:w="759"/>
        <w:gridCol w:w="8531"/>
        <w:gridCol w:w="231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1 295 634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35 031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85 279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81 435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10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757 000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682 544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16 631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18 031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13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8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40 553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22 896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22 896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53 296,2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10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28 692,2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8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4 294,2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168 934,9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124 257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124 257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10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10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8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41 517,9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41 517,9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40 828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7 788,7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10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10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-22 971,6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22 971,6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19/1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93"/>
        <w:gridCol w:w="6653"/>
        <w:gridCol w:w="2153"/>
      </w:tblGrid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1 293 092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1 111 650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1 111 650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73"/>
        <w:gridCol w:w="6533"/>
        <w:gridCol w:w="2233"/>
      </w:tblGrid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1 293 092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161 824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88 879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894 629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894 399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843 211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районного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76 336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13 159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19/1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53"/>
        <w:gridCol w:w="773"/>
        <w:gridCol w:w="6193"/>
        <w:gridCol w:w="2293"/>
      </w:tblGrid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1 442 427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195 913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1 240 664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1 240 664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1 240 664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73"/>
        <w:gridCol w:w="713"/>
        <w:gridCol w:w="5953"/>
        <w:gridCol w:w="2393"/>
      </w:tblGrid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1 442 427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185 604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107 660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997 628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997 380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940 317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82 724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12 725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22 873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19/1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873"/>
        <w:gridCol w:w="8153"/>
      </w:tblGrid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19/1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Тимирязевского района Северо-Казахстанской области от 05.11.2010 </w:t>
      </w:r>
      <w:r>
        <w:rPr>
          <w:rFonts w:ascii="Times New Roman"/>
          <w:b w:val="false"/>
          <w:i w:val="false"/>
          <w:color w:val="ff0000"/>
          <w:sz w:val="28"/>
        </w:rPr>
        <w:t>N 27/5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233"/>
        <w:gridCol w:w="993"/>
        <w:gridCol w:w="6413"/>
        <w:gridCol w:w="1973"/>
      </w:tblGrid>
      <w:tr>
        <w:trPr>
          <w:trHeight w:val="9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124 479,9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85 279</w:t>
            </w:r>
          </w:p>
        </w:tc>
      </w:tr>
      <w:tr>
        <w:trPr>
          <w:trHeight w:val="9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85 279</w:t>
            </w:r>
          </w:p>
        </w:tc>
      </w:tr>
      <w:tr>
        <w:trPr>
          <w:trHeight w:val="10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81435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9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</w:t>
            </w:r>
          </w:p>
        </w:tc>
      </w:tr>
      <w:tr>
        <w:trPr>
          <w:trHeight w:val="9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</w:tr>
      <w:tr>
        <w:trPr>
          <w:trHeight w:val="9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11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9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11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553"/>
        <w:gridCol w:w="1233"/>
        <w:gridCol w:w="1333"/>
        <w:gridCol w:w="1433"/>
        <w:gridCol w:w="1493"/>
        <w:gridCol w:w="1413"/>
        <w:gridCol w:w="2153"/>
      </w:tblGrid>
      <w:tr>
        <w:trPr>
          <w:trHeight w:val="11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</w:tr>
      <w:tr>
        <w:trPr>
          <w:trHeight w:val="9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</w:tr>
      <w:tr>
        <w:trPr>
          <w:trHeight w:val="10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4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9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1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453"/>
        <w:gridCol w:w="1373"/>
        <w:gridCol w:w="1373"/>
        <w:gridCol w:w="1353"/>
        <w:gridCol w:w="1493"/>
        <w:gridCol w:w="1733"/>
        <w:gridCol w:w="1933"/>
      </w:tblGrid>
      <w:tr>
        <w:trPr>
          <w:trHeight w:val="9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26 703,9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9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10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9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11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19/1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08"/>
        <w:gridCol w:w="713"/>
        <w:gridCol w:w="5653"/>
        <w:gridCol w:w="1773"/>
        <w:gridCol w:w="1673"/>
      </w:tblGrid>
      <w:tr>
        <w:trPr>
          <w:trHeight w:val="15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112 791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513"/>
        <w:gridCol w:w="1373"/>
        <w:gridCol w:w="1513"/>
        <w:gridCol w:w="1513"/>
        <w:gridCol w:w="1413"/>
        <w:gridCol w:w="1633"/>
        <w:gridCol w:w="1433"/>
      </w:tblGrid>
      <w:tr>
        <w:trPr>
          <w:trHeight w:val="12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Бело-градовский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Есиль-ский а/о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833"/>
        <w:gridCol w:w="1493"/>
        <w:gridCol w:w="1533"/>
        <w:gridCol w:w="1473"/>
        <w:gridCol w:w="1673"/>
        <w:gridCol w:w="1853"/>
      </w:tblGrid>
      <w:tr>
        <w:trPr>
          <w:trHeight w:val="9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Мичурин-ский с/о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Акжанс-кий 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Куртай-ский а/о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Тимиря-зевский 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Хмельни-цкий с/о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9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19/1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833"/>
        <w:gridCol w:w="5433"/>
        <w:gridCol w:w="1673"/>
        <w:gridCol w:w="1853"/>
      </w:tblGrid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Уч-режде-ние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233"/>
        <w:gridCol w:w="1433"/>
        <w:gridCol w:w="1533"/>
        <w:gridCol w:w="1533"/>
        <w:gridCol w:w="1453"/>
        <w:gridCol w:w="1513"/>
        <w:gridCol w:w="1493"/>
      </w:tblGrid>
      <w:tr>
        <w:trPr>
          <w:trHeight w:val="9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</w:t>
            </w:r>
          </w:p>
        </w:tc>
      </w:tr>
      <w:tr>
        <w:trPr>
          <w:trHeight w:val="4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87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13"/>
        <w:gridCol w:w="1533"/>
        <w:gridCol w:w="1613"/>
        <w:gridCol w:w="1573"/>
        <w:gridCol w:w="1733"/>
        <w:gridCol w:w="1753"/>
      </w:tblGrid>
      <w:tr>
        <w:trPr>
          <w:trHeight w:val="11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Мичурин-ский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Москво-рецкий 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Акжанс-кий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Куртай-ский а/о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Тимиря-зевский с/о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8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19/1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2010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Тимирязевского района Северо-Казахстанской области от 05.11.2010 </w:t>
      </w:r>
      <w:r>
        <w:rPr>
          <w:rFonts w:ascii="Times New Roman"/>
          <w:b w:val="false"/>
          <w:i w:val="false"/>
          <w:color w:val="ff0000"/>
          <w:sz w:val="28"/>
        </w:rPr>
        <w:t>N 27/5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833"/>
        <w:gridCol w:w="2273"/>
      </w:tblGrid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9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участникам и инвалидам Великой Отечественной войны и приравненным к ним лицам; вдовам воинов, погибшим в годы Великой Отечественной войны, не вступившим в повторный брак; семьям погибших военнослужащих; гражданам, трудившимся и проходившим воинскую службу в тылу; инвалидам всех групп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участникам и инвалидам Великой Отечественной войны для оплаты расходов на коммунальные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остронуждающимся гражданам, попавшим в сложную жизненную ситуацию (пожар, стихийное бедствие, тяжелые формы заболеваний и другие - не более 10 тысяч тенге)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19/1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  программой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Тимирязевского района Северо-Казахстанской области от 23.06.2010 </w:t>
      </w:r>
      <w:r>
        <w:rPr>
          <w:rFonts w:ascii="Times New Roman"/>
          <w:b w:val="false"/>
          <w:i w:val="false"/>
          <w:color w:val="ff0000"/>
          <w:sz w:val="28"/>
        </w:rPr>
        <w:t>N 24/3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773"/>
        <w:gridCol w:w="893"/>
        <w:gridCol w:w="4333"/>
        <w:gridCol w:w="1293"/>
        <w:gridCol w:w="1553"/>
        <w:gridCol w:w="1813"/>
      </w:tblGrid>
      <w:tr>
        <w:trPr>
          <w:trHeight w:val="16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19/1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образовавшихся на 1 января 2010 года, погашение долга перед вышестоящим бюджетом по кредитам, выданным в 2010 году на поддержку специалистов социальной сферы на селе, возврат целевых трансфертов республиканского и областного бюджетов, неиспользованных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10 в соответствии с решением маслихата Тимирязевского района Северо-Казахстанской области от 31.03.2010 </w:t>
      </w:r>
      <w:r>
        <w:rPr>
          <w:rFonts w:ascii="Times New Roman"/>
          <w:b w:val="false"/>
          <w:i w:val="false"/>
          <w:color w:val="ff0000"/>
          <w:sz w:val="28"/>
        </w:rPr>
        <w:t>N 22/3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редакции решения маслихата Тимирязевского района Северо-Казахстанской области от 29.07.2010 </w:t>
      </w:r>
      <w:r>
        <w:rPr>
          <w:rFonts w:ascii="Times New Roman"/>
          <w:b w:val="false"/>
          <w:i w:val="false"/>
          <w:color w:val="ff0000"/>
          <w:sz w:val="28"/>
        </w:rPr>
        <w:t>N 25/2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33"/>
        <w:gridCol w:w="1013"/>
        <w:gridCol w:w="6233"/>
        <w:gridCol w:w="2453"/>
      </w:tblGrid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13"/>
        <w:gridCol w:w="853"/>
        <w:gridCol w:w="6253"/>
        <w:gridCol w:w="2433"/>
      </w:tblGrid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0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