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d6f6" w14:textId="f33d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2008 года №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апреля 2009 года N 14/4. Зарегистрировано Управлением юстиции Мамлютского района Северо-Казахстанской области 22 мая 2009 года N 13-10-85. Утратило силу в связи с истечением срока применения (письмо маслихата Мамлютского района Северо-Казахстанской области от 14 октября 2011 года № 129)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(письмо маслихата Мамлютского района Северо-Казахстанской области от 14.10.2011 № 129)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«О мерах по реализации Послания главы государства народу Казахстана от 6 марта 2009 года «Через кризис к обновлению и развитию» и ходатайств администраторов районных бюджетных программ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2008 года № 11/2 «О районном бюджете на 2009 год» (зарегистрирован в реестре государственной регистрации нормативных правовых актов за № 13-10-76 от 4 февраля 2009 года, опубликованное 13 февраля 2009 года в газете «Знамя труда»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«1378522» заменить цифрами «1399371»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«159163» заменить цифрами «174243»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«1210754» заменить цифрами «1216523»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«1378522» заменить цифрами «1405290,5»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«-5919,5»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«5919,5»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 цифры «216» заменить цифрами «2266».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 «Выделить за счет свободных остатков средств районного бюджета сложившихся на 1 января 2009года, денежные средства на расходы районного бюджета по бюджетным программам, согласно приложению 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 «В рамках реализации стратегии региональной занятости и переподготовки кадров (Дорожная карта) выделить на капитальный и текущий ремонт объектов культуры в том числе культурный центр города Мамлютка за счет оптимизации района в сумме 1393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в подпункте 1) цифры « 295923» заменить цифрами «228409».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подпункте 3 цифры «10594» заменить цифрами « 10679»;.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6220» заменить цифрами «6276»;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«4374» заменить цифрами «4403».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пунктами 15-1, 15-2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 «Учесть в районном бюджете на 2009 год целевые трансферты из республиканского бюджета на обеспечение занятости в рамках реализации стратегии региональной занятости и переподготовки кадров (Дорожная карта) в сумме 35178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Капитальный и текущий ремонт объектов образования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Новомихайловская средняя школа - 12780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Расширение программы социальных рабочих мест и молодежной практики - 13098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социальные рабочие места - 6900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молодежная практика - 6198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Ремонт и содержание автомобильных дорог в том числе дорожно-ремонтные работы 9300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 «Учесть в районном бюджете на 2009 год целевые трансферты из областного бюджета на обеспечение занятости в рамках реализации стратегии региональной занятости и переподготовки кадров (Дорожная карта) в сумме 38020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Капитальный и текущий ремонт объектов образования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Новомихайловская средняя школа - 5220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Капитальный и текущий ремонт объектов культуры в том числе культурный центр города Мамлютка 2607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Социальные проекты (объекты культуры) сельский дом культуры села Андреевка в сумме -7000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Ремонт инженерно-коммуникационной инфраструктуры и благоустройства населенных пунктов в сумме 13893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капитальный ремонт объектов водоснабжения - 10694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благоустройство населенных пунктов 3199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Ремонт и содержание автомобильных дорог в том числе: дорожно-ремонтные работы - 9300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№ 1, 2, 3, 6, 7, 8, 9 к указанному решению изложить в новой редакции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Н.Серикова                                        А.Нуртаев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14/4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93"/>
        <w:gridCol w:w="1073"/>
        <w:gridCol w:w="5873"/>
        <w:gridCol w:w="2313"/>
      </w:tblGrid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1399371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1216523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1216523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853"/>
        <w:gridCol w:w="1053"/>
        <w:gridCol w:w="5293"/>
        <w:gridCol w:w="2353"/>
      </w:tblGrid>
      <w:tr>
        <w:trPr>
          <w:trHeight w:val="15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1405290,5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108352,2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8596,2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значания)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8596,2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27187,9</w:t>
            </w:r>
          </w:p>
        </w:tc>
      </w:tr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27187,9</w:t>
            </w:r>
          </w:p>
        </w:tc>
      </w:tr>
      <w:tr>
        <w:trPr>
          <w:trHeight w:val="5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59685,9</w:t>
            </w:r>
          </w:p>
        </w:tc>
      </w:tr>
      <w:tr>
        <w:trPr>
          <w:trHeight w:val="7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59685,9</w:t>
            </w:r>
          </w:p>
        </w:tc>
      </w:tr>
      <w:tr>
        <w:trPr>
          <w:trHeight w:val="3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7901,1</w:t>
            </w:r>
          </w:p>
        </w:tc>
      </w:tr>
      <w:tr>
        <w:trPr>
          <w:trHeight w:val="3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и финансов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3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4981,1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4981,1</w:t>
            </w:r>
          </w:p>
        </w:tc>
      </w:tr>
      <w:tr>
        <w:trPr>
          <w:trHeight w:val="3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810147,4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36768,4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18768,4</w:t>
            </w:r>
          </w:p>
        </w:tc>
      </w:tr>
      <w:tr>
        <w:trPr>
          <w:trHeight w:val="7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3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771741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720420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31870,7</w:t>
            </w:r>
          </w:p>
        </w:tc>
      </w:tr>
      <w:tr>
        <w:trPr>
          <w:trHeight w:val="8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5033,3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7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100823,5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100823,5</w:t>
            </w:r>
          </w:p>
        </w:tc>
      </w:tr>
      <w:tr>
        <w:trPr>
          <w:trHeight w:val="3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</w:t>
            </w:r>
          </w:p>
        </w:tc>
      </w:tr>
      <w:tr>
        <w:trPr>
          <w:trHeight w:val="12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</w:p>
        </w:tc>
      </w:tr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3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</w:p>
        </w:tc>
      </w:tr>
      <w:tr>
        <w:trPr>
          <w:trHeight w:val="13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5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12419,5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3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3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61346,1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24659,8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24659,8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7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7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6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3522,1</w:t>
            </w:r>
          </w:p>
        </w:tc>
      </w:tr>
      <w:tr>
        <w:trPr>
          <w:trHeight w:val="3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3522,1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2678,1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2678,1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3092,1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3092,1</w:t>
            </w:r>
          </w:p>
        </w:tc>
      </w:tr>
      <w:tr>
        <w:trPr>
          <w:trHeight w:val="7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253253,4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15044,3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9875,3</w:t>
            </w:r>
          </w:p>
        </w:tc>
      </w:tr>
      <w:tr>
        <w:trPr>
          <w:trHeight w:val="9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4445,1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3677,1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 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4662,3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4662,3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4662,3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5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7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7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7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11934,2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7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3347,1</w:t>
            </w:r>
          </w:p>
        </w:tc>
      </w:tr>
      <w:tr>
        <w:trPr>
          <w:trHeight w:val="4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3347,1</w:t>
            </w:r>
          </w:p>
        </w:tc>
      </w:tr>
      <w:tr>
        <w:trPr>
          <w:trHeight w:val="3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-5919,5</w:t>
            </w:r>
          </w:p>
        </w:tc>
      </w:tr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5919,5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14/4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инвестиционные проекты и программы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133"/>
        <w:gridCol w:w="973"/>
        <w:gridCol w:w="5673"/>
        <w:gridCol w:w="2493"/>
      </w:tblGrid>
      <w:tr>
        <w:trPr>
          <w:trHeight w:val="16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234473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5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7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технологическое сопровождение и авторский надзор за строительством системы водоснабжения по займу Азиатского банка развития в селах Беловка, Краснознаменное, Калугино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7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с.Дубровное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120204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 Афонькино, Пробуждение, Новоукраинка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14/4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93"/>
        <w:gridCol w:w="1153"/>
        <w:gridCol w:w="4573"/>
        <w:gridCol w:w="1533"/>
        <w:gridCol w:w="1653"/>
        <w:gridCol w:w="1793"/>
      </w:tblGrid>
      <w:tr>
        <w:trPr>
          <w:trHeight w:val="25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пр-м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3762,2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3762,2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59685,9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Сельское,водное, лесное, рыбное хозяйство,особоохраня-емые природные территории ,охрана окружающей среды и животного мира,земельные отношения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поселках,аулах (селах),аульных 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233"/>
        <w:gridCol w:w="2273"/>
        <w:gridCol w:w="1993"/>
        <w:gridCol w:w="2133"/>
      </w:tblGrid>
      <w:tr>
        <w:trPr>
          <w:trHeight w:val="4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с/округ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4724,2</w:t>
            </w:r>
          </w:p>
        </w:tc>
      </w:tr>
      <w:tr>
        <w:trPr>
          <w:trHeight w:val="10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4724,2</w:t>
            </w:r>
          </w:p>
        </w:tc>
      </w:tr>
      <w:tr>
        <w:trPr>
          <w:trHeight w:val="103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4724,2</w:t>
            </w:r>
          </w:p>
        </w:tc>
      </w:tr>
      <w:tr>
        <w:trPr>
          <w:trHeight w:val="36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00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97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96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12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2193"/>
        <w:gridCol w:w="2173"/>
        <w:gridCol w:w="1993"/>
        <w:gridCol w:w="2133"/>
      </w:tblGrid>
      <w:tr>
        <w:trPr>
          <w:trHeight w:val="48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</w:tr>
      <w:tr>
        <w:trPr>
          <w:trHeight w:val="49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4258,4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5221,2</w:t>
            </w:r>
          </w:p>
        </w:tc>
      </w:tr>
      <w:tr>
        <w:trPr>
          <w:trHeight w:val="102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4258,4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5221,2</w:t>
            </w:r>
          </w:p>
        </w:tc>
      </w:tr>
      <w:tr>
        <w:trPr>
          <w:trHeight w:val="103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4258,4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5221,2</w:t>
            </w:r>
          </w:p>
        </w:tc>
      </w:tr>
      <w:tr>
        <w:trPr>
          <w:trHeight w:val="36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7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49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48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8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96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8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121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6084,2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14/4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464003105 "Школы, гимназии,</w:t>
      </w:r>
      <w:r>
        <w:br/>
      </w:r>
      <w:r>
        <w:rPr>
          <w:rFonts w:ascii="Times New Roman"/>
          <w:b/>
          <w:i w:val="false"/>
          <w:color w:val="000000"/>
        </w:rPr>
        <w:t>
лицеи, профильные школы начального, основного среднего и общего</w:t>
      </w:r>
      <w:r>
        <w:br/>
      </w:r>
      <w:r>
        <w:rPr>
          <w:rFonts w:ascii="Times New Roman"/>
          <w:b/>
          <w:i w:val="false"/>
          <w:color w:val="000000"/>
        </w:rPr>
        <w:t>
среднего образования, школы-детские сады"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3653"/>
        <w:gridCol w:w="5273"/>
      </w:tblGrid>
      <w:tr>
        <w:trPr>
          <w:trHeight w:val="435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644335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76085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14/4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Уточнение расходной части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за счет оптимизации на 2009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Расходы: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Уменьшить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93"/>
        <w:gridCol w:w="1073"/>
        <w:gridCol w:w="5933"/>
        <w:gridCol w:w="2313"/>
      </w:tblGrid>
      <w:tr>
        <w:trPr>
          <w:trHeight w:val="14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гру-ппа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Адм-тор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-944,9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-387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-387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-48,9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-2,9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-172,9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-172,9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-45,6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-100,3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-1904,2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-190,2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-190,2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-1571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-1571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-1337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-896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 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13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Адм-тор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Про-грам-ма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14/4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</w:t>
      </w:r>
      <w:r>
        <w:br/>
      </w:r>
      <w:r>
        <w:rPr>
          <w:rFonts w:ascii="Times New Roman"/>
          <w:b/>
          <w:i w:val="false"/>
          <w:color w:val="000000"/>
        </w:rPr>
        <w:t>
сложившихся на 1 января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53"/>
        <w:gridCol w:w="1013"/>
        <w:gridCol w:w="5873"/>
        <w:gridCol w:w="2353"/>
      </w:tblGrid>
      <w:tr>
        <w:trPr>
          <w:trHeight w:val="15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гру-ппа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Адм-тор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Про-грам-ма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763,6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значания)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480,9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2502,8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2502,8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)целевых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5919,5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14/4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бюджетных средств на реализацию стратегии</w:t>
      </w:r>
      <w:r>
        <w:br/>
      </w:r>
      <w:r>
        <w:rPr>
          <w:rFonts w:ascii="Times New Roman"/>
          <w:b/>
          <w:i w:val="false"/>
          <w:color w:val="000000"/>
        </w:rPr>
        <w:t>
региональной занятости и переподготовки кадров</w:t>
      </w:r>
      <w:r>
        <w:br/>
      </w:r>
      <w:r>
        <w:rPr>
          <w:rFonts w:ascii="Times New Roman"/>
          <w:b/>
          <w:i w:val="false"/>
          <w:color w:val="000000"/>
        </w:rPr>
        <w:t>
(Дорожной карты)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33"/>
        <w:gridCol w:w="1053"/>
        <w:gridCol w:w="5633"/>
        <w:gridCol w:w="2293"/>
      </w:tblGrid>
      <w:tr>
        <w:trPr>
          <w:trHeight w:val="15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гру-ппа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Адм-тор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Про-грам-ма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в т.ч.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  в т.ч.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 охраняемые природные территории ,охрана окружающей среды и животного мира,земельные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 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