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b426" w14:textId="502b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использование особо охраняемых природных территорий Государственного регионального природного парка "Медеу"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Маслихата города Алматы IV созыва от 30 ноября 2009 года N 263. Зарегистрировано в Департаменте юстиции города Алматы 25 декабря 2009 года за N 832. Утратило силу решением Маслихата города Алматы от 13 декабря 2010 N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13.12.2010 N 380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«Об особо охраняемых природных территориях»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использование особо охраняемых природных территорий Государственного регионального природного парка «Медеу»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XIV-й сессии маслихата города Алматы IV-го созыва от 22 декабря 2008 года № 162 «Об утверждении ставок платы за использование особо охраняемых природных территорий Государственного регионального природного парка «Медеу» на 2009 год» (зарегистрировано в реестре государственной регистрации нормативных правовых актов за № 808 от 29 января 2009 года и опубликовано в газете «Алматы ақшамы» 28 февраля 2009 года № 24 и «Вечерний Алматы» 07 февраля 2009 года № 15-16).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экологии, здравоохранения и чрезвычайных ситуаций (Измухамбетов Т.А.) и на заместителя акима города Алматы Шорманова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263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использование особо охраняемых природных</w:t>
      </w:r>
      <w:r>
        <w:br/>
      </w:r>
      <w:r>
        <w:rPr>
          <w:rFonts w:ascii="Times New Roman"/>
          <w:b/>
          <w:i w:val="false"/>
          <w:color w:val="000000"/>
        </w:rPr>
        <w:t>
территорий (ООПТ) государственного регионального</w:t>
      </w:r>
      <w:r>
        <w:br/>
      </w:r>
      <w:r>
        <w:rPr>
          <w:rFonts w:ascii="Times New Roman"/>
          <w:b/>
          <w:i w:val="false"/>
          <w:color w:val="000000"/>
        </w:rPr>
        <w:t>
природного парка «Медеу»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93"/>
        <w:gridCol w:w="3333"/>
        <w:gridCol w:w="14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туристических и рекреационных целях: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транспорт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тенге/автомашина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автотранспорт и автобусы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тенге/автомашина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с автобусных маршрутных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автовладельцев, работающих на территории ООПТ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научных целях (проведение научных исследований)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человеко/день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культурно-просветительных и учебных целях: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 объектов неживой природы, растений и животных, объектов, историко-культурного наследия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человеко/день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учебных экскурсий и занятий производственных практик учащихся и студентов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человеко/день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научных кадров, переподготовка и повышение квалификации специалистов в области заповедного дела, охраны окружающей среды и рационального природопользования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человеко/день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ограниченно-хозяйственных целях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человеко/день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