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107" w14:textId="c9a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2009 года N 138-22-4. Зарегистрировано Управлением юстиции Иртышского района Павлодарской области 5 января 2010 года N 12-7-92. Утратило силу в связи с истечением срока действия - на основании решения маслихата Иртышского района Павлодарской области от 11 февраля 2011 года N 210-34-4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на основании решения маслихата Иртышского района Павлодарской области от 11.02.2011 N 210-34-4.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Иртышского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2 238 583 000 (два миллиарда двести тридцать восемь миллионов пятьсот восемьдесят три тысячи)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228 154 000 (двести двадцать восемь миллионов сто пятьдесят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1 117 000 (один миллион сто семнадцать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582 000 (пятьсот восемьдесят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2 008 730 000 (два миллиарда восемь миллионов семьсот 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2 240 716 000 (два миллиарда двести сорок миллионов семьсот шестнадцать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8 164 000 (восемь миллионов сто шестьдесят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8 263 000 (восемь миллионов двести шестьдесят 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99 000 (девяносто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8 340 000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8 340 000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-18 637 000 (восемнадцать миллионов шестьсот тридцать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18 637 000 (восемнадцать миллионов шестьсот тридцать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2011 и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N 158-26-4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16.06.2010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169-27-4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03.09.2010 </w:t>
      </w:r>
      <w:r>
        <w:rPr>
          <w:rFonts w:ascii="Times New Roman"/>
          <w:b w:val="false"/>
          <w:i w:val="false"/>
          <w:color w:val="000000"/>
          <w:sz w:val="28"/>
        </w:rPr>
        <w:t>N 180-28-4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03.11.2010 </w:t>
      </w:r>
      <w:r>
        <w:rPr>
          <w:rFonts w:ascii="Times New Roman"/>
          <w:b w:val="false"/>
          <w:i w:val="false"/>
          <w:color w:val="000000"/>
          <w:sz w:val="28"/>
        </w:rPr>
        <w:t>N 192-30-4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06.12.2010 </w:t>
      </w:r>
      <w:r>
        <w:rPr>
          <w:rFonts w:ascii="Times New Roman"/>
          <w:b w:val="false"/>
          <w:i w:val="false"/>
          <w:color w:val="000000"/>
          <w:sz w:val="28"/>
        </w:rPr>
        <w:t>N 194-31-4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2010 год объем субвенции, передаваемой из областного бюджета в сумме 1 405 759 (один миллиард четыреста пять миллионов семьсот пятьдесят девять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2010 год резерв местного исполнительного органа района в сумме 4 090 (четыре миллиона девяносто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Сохранить повышение на 25 процентов окладов и тарифных ставок специалистам социального обеспечения, образования, культуры, работающих в сельской местности и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 (подпрограмм) села и сельского округа, финансируемых из районного бюджета в 2010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138-22-4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VI созыв)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Иртышского района Павлодарской области от 06.12.2010 </w:t>
      </w:r>
      <w:r>
        <w:rPr>
          <w:rFonts w:ascii="Times New Roman"/>
          <w:b w:val="false"/>
          <w:i w:val="false"/>
          <w:color w:val="ff0000"/>
          <w:sz w:val="28"/>
        </w:rPr>
        <w:t>N 194-31-4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4"/>
        <w:gridCol w:w="503"/>
        <w:gridCol w:w="8531"/>
        <w:gridCol w:w="3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2238583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228154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4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98"/>
        <w:gridCol w:w="535"/>
        <w:gridCol w:w="582"/>
        <w:gridCol w:w="7896"/>
        <w:gridCol w:w="313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2240716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188217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41614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8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1484529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1032325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1030142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1000813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4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1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115818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97828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18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18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9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58874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5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116974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15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-18637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VI созыв)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Иртышского района Павлодарской области от 11.02.2010 </w:t>
      </w:r>
      <w:r>
        <w:rPr>
          <w:rFonts w:ascii="Times New Roman"/>
          <w:b w:val="false"/>
          <w:i w:val="false"/>
          <w:color w:val="ff0000"/>
          <w:sz w:val="28"/>
        </w:rPr>
        <w:t>N 156-25-4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35"/>
        <w:gridCol w:w="603"/>
        <w:gridCol w:w="104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VI созыв)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села и сельского округа,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районного бюджета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24"/>
        <w:gridCol w:w="2059"/>
        <w:gridCol w:w="6884"/>
      </w:tblGrid>
      <w:tr>
        <w:trPr>
          <w:trHeight w:val="5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Голубовка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Агашорынского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Байзаковского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Косагашского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Коскольского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 аульных (сельских) округах 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Кызылкакского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 аульных (сельских) округах 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Майконырского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Иртышск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Селетинского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Тохтинского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Узынсуского сельского округа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VI созыв)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84"/>
        <w:gridCol w:w="698"/>
        <w:gridCol w:w="8121"/>
        <w:gridCol w:w="28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(тысяч тенге)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12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1430928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1430928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28"/>
        <w:gridCol w:w="656"/>
        <w:gridCol w:w="592"/>
        <w:gridCol w:w="7387"/>
        <w:gridCol w:w="29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1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1101569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1099064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1071780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VI созыв)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651"/>
        <w:gridCol w:w="8063"/>
        <w:gridCol w:w="29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(тысяч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1800099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2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1523629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1523629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66"/>
        <w:gridCol w:w="638"/>
        <w:gridCol w:w="660"/>
        <w:gridCol w:w="7405"/>
        <w:gridCol w:w="29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31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1800099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199368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1264017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1169683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15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18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