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d3333" w14:textId="7cd33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стоимости разовых талонов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Железинского района Павлодарской области от 16 апреля 2009 года N 137-4/14. Зарегистрировано Управлением юстиции Железинского района Павлодарской области 18 мая 2009 года за N 12-6-71. Утратило силу решением маслихата Железинского района Павлодарской области от 20 декабря 2012 года N 79-5/9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маслихата Железинского района Павлодарской области от 20.12.2012 N 79-5/9.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6 статьи 36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введении в действии Кодекса Республики Казахстан "О налогах и других обязательных платежах в бюджет" (Налоговый кодекс) от 10 декабря 2008 года, статьи 6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 на основе среднедневных данных хронометражных наблюдений и обследований проведенных Налоговых управлением Железинского района,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стоимость разовых талонов для физических лиц, деятельность которых носит эпизодический характер, а также реализующих товары на рынках района, согласно приложениям N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2/1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данному решению. (прилагаются).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Считать утратившими силу следующие решения маслихата Железинского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112/15 от 13 февраля 2002 года "Об утверждении стоимости разовых талонов" (зарегистрировано в Реестре государственной регистрации нормативных правовых актов за N 1340, опубликовано в газете "Родные просторы" N 10 от 26 февраля 2002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149-3/21 от 15 декабря 2005 года "Об установлении категории рынка в с. Железинка и утверждении стоимости разовых талонов" (зарегистрировано в Реестре государственной регистрации нормативных правовых актов N 12-6-15, опубликовано в газете "Родные просторы" N 1 от 7 января 2006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Умаров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В. Крутиков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N 1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Железинского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очередная 14-сессия, 4-созыва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апреля 2009 года N 137-4/14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Стоимость разовых талонов для физических лиц,</w:t>
      </w:r>
      <w:r>
        <w:br/>
      </w:r>
      <w:r>
        <w:rPr>
          <w:rFonts w:ascii="Times New Roman"/>
          <w:b/>
          <w:i w:val="false"/>
          <w:color w:val="000000"/>
        </w:rPr>
        <w:t>
деятельность которых носит эпизодический характер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1"/>
        <w:gridCol w:w="8427"/>
        <w:gridCol w:w="2362"/>
      </w:tblGrid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предпринимательской деятельности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</w:tc>
      </w:tr>
      <w:tr>
        <w:trPr>
          <w:trHeight w:val="30" w:hRule="atLeast"/>
        </w:trPr>
        <w:tc>
          <w:tcPr>
            <w:tcW w:w="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/за исключением деятельности, осуществляемой в стационарных помещениях/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 и журналов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семян, а также посадочного материала (саженцы, рассада)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бахчевых культур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живых цветов, выращенных на дачных и придомовых участках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 подсобного сельского хозяйства, садоводства, огородничества и дачных участков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 для животных и птиц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веников и метел, грибов (свежих)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лесных ягод, рыбы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меда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грибов переработанных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владельцев личных тракторов по обработке земельных участков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N 2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Железинского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очередная 14-сессия, 4-созыва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апреля 2009 года N 137-4/14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Стоимость разовых талонов для физических лиц,</w:t>
      </w:r>
      <w:r>
        <w:br/>
      </w:r>
      <w:r>
        <w:rPr>
          <w:rFonts w:ascii="Times New Roman"/>
          <w:b/>
          <w:i w:val="false"/>
          <w:color w:val="000000"/>
        </w:rPr>
        <w:t>
деятельность которых носит эпизодический характер</w:t>
      </w:r>
      <w:r>
        <w:br/>
      </w:r>
      <w:r>
        <w:rPr>
          <w:rFonts w:ascii="Times New Roman"/>
          <w:b/>
          <w:i w:val="false"/>
          <w:color w:val="000000"/>
        </w:rPr>
        <w:t>
по выпасу домашних животных и птиц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5173"/>
        <w:gridCol w:w="2653"/>
        <w:gridCol w:w="2753"/>
      </w:tblGrid>
      <w:tr>
        <w:trPr>
          <w:trHeight w:val="3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5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расчете на одну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голову КРС, в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Железинка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сельским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округам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 физического лица в месяц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Затраты, связанные с получением дохода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Налогооблагаемый доход за месяц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 %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стоимости разового талона в месяц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N 2/1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Железинского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очередная 14-сессия, 4-созыва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апреля 2009 года N 137-4/14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Стоимость разовых талонов для физических лиц,</w:t>
      </w:r>
      <w:r>
        <w:br/>
      </w:r>
      <w:r>
        <w:rPr>
          <w:rFonts w:ascii="Times New Roman"/>
          <w:b/>
          <w:i w:val="false"/>
          <w:color w:val="000000"/>
        </w:rPr>
        <w:t>
деятельность которых носит эпизодический характер</w:t>
      </w:r>
      <w:r>
        <w:br/>
      </w:r>
      <w:r>
        <w:rPr>
          <w:rFonts w:ascii="Times New Roman"/>
          <w:b/>
          <w:i w:val="false"/>
          <w:color w:val="000000"/>
        </w:rPr>
        <w:t>
по выпасу домашних животных и птиц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5193"/>
        <w:gridCol w:w="2633"/>
        <w:gridCol w:w="2733"/>
      </w:tblGrid>
      <w:tr>
        <w:trPr>
          <w:trHeight w:val="30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5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расчете на одну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голову МРС и птицу,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с. Железинка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сельским округам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 физического лица в месяц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Затраты, связанные с получением дохода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Налогооблагаемый доход за месяц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 %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стоимости разового талона в месяц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