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d86e" w14:textId="51fd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марта 2009 года № 57 "Об организации оплачиваемых общественных работ" в Узункольском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 ноября 2009 года № 229. Зарегистрировано Управлением юстиции Узункольского района Костанайской области 30 ноября 2009 года № 9-19-117.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19 июня 2001 года № 836 "О мерах по реализации Закона Республики Казахстан от 23 января 2001 года № 149 О занятости населения",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оплачиваемых общественных работ в Узункольском районе на 2009 год" от 16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9-19-96, опубликовано в газете "Нұрлы жол" 9 апреля 2009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осуществлять направление лиц входящих в целевые группы населения, безработных и лиц установленных действующим законодательством в пределах средств предусмотренных на них проведение в бюджете района на 2009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предоставлять временные рабочие места предназначенные для безработных и лиц установленных действующим законодательством".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Сейфуллин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"Узункольская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 2009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"Қайранкөл"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директора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М. Мустафин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ноября 2009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