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efe9" w14:textId="ecfe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20 февраля 2006 года № 35 "а" "Об Инструкции по организации и финансированию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6 августа 2009 года № 167. Зарегистрировано Управлением юстиции Узункольского района Костанайской области 11 сентября 2009 года № 9-19-110. Утратило силу постановлением акимата Узункольского района Костанайской области от 14 мая 2014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Сноска. Утратило силу постановлением акимата Узункольского района Костанайской области от 14.05.2014 № 120 (вводится в действие со дня подписания).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Инструкции по организации и финансированию социальных рабочих мест" от 20 февраля 2006 года № 35 "а" (зарегистрировано в Реестре государственной регистрации нормативных правовых актов № 9-19-17, опубликовано в газете "Нұрлы жол" 13 апреля 2006 года, в которое вносились изменения и дополнения,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22 апреля 2009 года № 93 "О внесении изменений и дополнений в постановление акимата района от 20 февраля 2006 года № 35 "а" "Об Инструкции по организации и финансированию социальных рабочих мест", зарегистрировано в Реестре государственной регистрации нормативных правовых актов № 9-19-101, опубликовано в газете "Нұрлы жол" 7 мая 2009 года № 19)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цифру "53" заменить цифрой "56".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Узункольского района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Аскарова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августа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августа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