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719e" w14:textId="20e7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2010-2012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25 декабря 2009 года № 233. Зарегистрировано Управлением юстиции Тарановского района Костанайской области 29 декабря 2009 года № 9-18-106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2010-2012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1763247,1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899804,0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- 3488,0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858085,1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1777927,1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13936,5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79834,0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-108450,5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108450,5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Тарановского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 от 20.04.2010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14.07.2010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20.10.2010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в районом бюджете на 2010 год объем субвенции, передаваемой из областного бюджета в сумме 698 490,0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2010 год предусмотрены целевые текущие трансферты в областной бюджет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 решением Костанайского областного маслихата "Об объемах трансфертов общего характера между областным бюджетом и бюджетами районов и городов Костанайской области на 2008-2010 годы" в сумме 44102,0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 решением маслихата Тарановского района Костанайской области от 20.04.2010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районном бюджете на 2010 год предусмотрен возврат целевых трансфертов в сумме 0,5 тысяч тенге, в том числе трансфертов, выделенных из республиканского бюджета, 0,3 тысяч тенге, трансфертов, выделенных из областного бюджета, 0,2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маслихата Тарановского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на 2010 год предусмотрены целевые текущие трансферты из областного бюджета на укрепление материально-технической базы государственных учреждений образования в сумме 12595,0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 решением маслихата Тарановского района Костанайской области от 20.10.2010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на 2010 год предусмотрены целевые текущие трансферты из областного бюджета на текущее содержание детского сада в селе Тарановское в сумме 25965,0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 решением маслихата Тарановского района Костанайской области от 20.10.2010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на 2010 год предусмотрены целевые текущие трансферты из областного бюджета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на благоустройство и санитарную очистку в сумме 8 900,0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на 2010 год предусмотрены целевые текущие трансферты из областного бюджета на социальную помощь молодежи из числа социально защищаемых слоев населения в сумме 1904,0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 решением маслихата Тарановского района Костанайской области от 20.04.2010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20.10.2010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Учесть, что на 2010 год предусмотрены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2 475,0 тысяч тенге –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10 593,0 тысяч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8940,0 тысячи тенге - на выплату единовременной материальной помощи участникам и инвалидам Великой Отечественной войны, а также лицам, приравненным к ним;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лицам, проработавшим (прослужившим) не менее шести месяцев в тылу в годы Великой Отечественной войны,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16068,0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9 916,0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17400,0 тысяч тенге – на расширение программы молодежной практики и создание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262,0 тысяча тенге -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7-1 с изменениями, внесенными решением маслихата Тарановского района Костанайской области от 20.04.2010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14.07.2010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20.10.2010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7-2. Учесть, что в районном бюджете на 2010 год предусмотрено поступление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 для реализации мер социальной поддержки специалистов социальной сферы сельских населенных пунктов в сумме 2 008,0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для реализации мер социальной поддержки специалистов социальной сферы сельских населенных пунктов в сумме 14 233,0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7-3. Учесть, что в районном бюджете на 2010 год предусмотрено поступление целевых текущих трансфертов из республиканского бюджета на реализацию Государственной программы развития образования в Республике Казахстан на 2005-2010 годы в сумме 23359,0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12285,0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11074,0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пунктами 7-1, 7-2, 7-3 в соответствии с решением маслихата Тарановского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 от 20.10.2010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7-4. Учесть, что на 2010 год предусмотрены целевые текущие трансферты из областного бюджета на выплату единовременной материальной помощи участникам и инвалидам Великой Отечественной войны, а также лицам, приравненным к ним;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лицам, проработавшим (прослужившим) не менее шести месяцев в тылу в годы Великой Отечественной войны, к 65-летию Победы в Великой Отечественной войне в сумме 1416,0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7-4 с изменениями, внесенным решением маслихата Тарановского района Костанайской области от 20.10.2010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7-5. Учесть, что на 2010 год предусмотрены целевые трансферты на развитие из областного бюджета на укрепление материально-технической базы объектов коммунальной собственности в сумме 17200,0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пунктами 7-4, 7-5 в соответствии с решением маслихата Тарановского района Костанайской области от 20.04.2010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Тарановского района Костанайской области от 20.04.2010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затратах бюджета района на 2010 год затраты фонда всеобщего обязательного среднего образования по программе "Общеобразовательное обучение" в размере не менее 1 процента от затрат на текущее содержание.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развития районного бюджета на 2010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районных бюджетных программ, не подлежащих секвестру в процессе исполнения районного бюджета на 2010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бюджетных программ по аппаратам акимов района в городе, города районного значения, поселка, аула (села), аульного (сельского) округа на 2010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двадцать первой,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                           Б. Бердалинов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Ж. Шинкин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В. Пирог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25.12.2009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№ 233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2010 года № 277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Тарановского района Костанайской области от 20.10.2010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433"/>
        <w:gridCol w:w="533"/>
        <w:gridCol w:w="7093"/>
        <w:gridCol w:w="22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1763247,1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899804,0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270217,0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270217,0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348250,0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3488,0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858085,1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858085,1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858085,1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53"/>
        <w:gridCol w:w="693"/>
        <w:gridCol w:w="693"/>
        <w:gridCol w:w="6433"/>
        <w:gridCol w:w="22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1777927,1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213470,3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174691,3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35711,9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7820,1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118417,3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112405,4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6011,9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2041,3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2041,3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36737,7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36737,7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34637,7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962340,0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83295,0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83295,0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863325,0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862660,0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849106,0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117947,0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99443,5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99443,5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31973,2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1428,7</w:t>
            </w:r>
          </w:p>
        </w:tc>
      </w:tr>
      <w:tr>
        <w:trPr>
          <w:trHeight w:val="15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праздничных мероприятиях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Москва, Астана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25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18503,5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18503,5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18112,5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66523,6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25225,4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15345,4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11445,4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34017,2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32940,4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18184,9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1076,8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1076,8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148723,0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42620,1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15305,1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13374,3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10772,2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2602,1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зонированию земель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9075,0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157461,0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67146,0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11154,6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5085,6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5085,6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4895,6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44052,5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44052,5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44052,5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44052,0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13936,5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296,5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IY.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79834,0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79834,0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79834,0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Y.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-108450,5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YI.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108450,5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№ 233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39"/>
        <w:gridCol w:w="386"/>
        <w:gridCol w:w="540"/>
        <w:gridCol w:w="7332"/>
        <w:gridCol w:w="233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1754370,0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682732,0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205600,0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205600,0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165000,0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165000,0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287212,0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248312,0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20900,0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21900,0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1068838,0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1068838,0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1068838,0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445"/>
        <w:gridCol w:w="769"/>
        <w:gridCol w:w="704"/>
        <w:gridCol w:w="6402"/>
        <w:gridCol w:w="230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1754370,0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206729,0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175165,0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13453,0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13453,0</w:t>
            </w:r>
          </w:p>
        </w:tc>
      </w:tr>
      <w:tr>
        <w:trPr>
          <w:trHeight w:val="3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41643,0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4357,0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115712,0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115712,0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2513,0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29051,0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29051,0</w:t>
            </w:r>
          </w:p>
        </w:tc>
      </w:tr>
      <w:tr>
        <w:trPr>
          <w:trHeight w:val="10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29051,0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3867,0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1049034,0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55572,0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55572,0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55572,0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978390,0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977672,0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962284,0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15388,0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15072,0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7239,0</w:t>
            </w:r>
          </w:p>
        </w:tc>
      </w:tr>
      <w:tr>
        <w:trPr>
          <w:trHeight w:val="76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90070,0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71527,0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71527,0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9977,0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14264,0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11880,0</w:t>
            </w:r>
          </w:p>
        </w:tc>
      </w:tr>
      <w:tr>
        <w:trPr>
          <w:trHeight w:val="10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2215,0</w:t>
            </w:r>
          </w:p>
        </w:tc>
      </w:tr>
      <w:tr>
        <w:trPr>
          <w:trHeight w:val="3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18543,0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18543,0</w:t>
            </w:r>
          </w:p>
        </w:tc>
      </w:tr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18022,0</w:t>
            </w:r>
          </w:p>
        </w:tc>
      </w:tr>
      <w:tr>
        <w:trPr>
          <w:trHeight w:val="46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175545,0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46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142633,0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142633,0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142633,0</w:t>
            </w:r>
          </w:p>
        </w:tc>
      </w:tr>
      <w:tr>
        <w:trPr>
          <w:trHeight w:val="2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32520,0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32520,0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11870,0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117157,0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58701,0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58701,0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58701,0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3133,0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3133,0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78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34743,0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32466,0</w:t>
            </w:r>
          </w:p>
        </w:tc>
      </w:tr>
      <w:tr>
        <w:trPr>
          <w:trHeight w:val="2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31175,0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20580,0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7271,0</w:t>
            </w:r>
          </w:p>
        </w:tc>
      </w:tr>
      <w:tr>
        <w:trPr>
          <w:trHeight w:val="46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7542,0</w:t>
            </w:r>
          </w:p>
        </w:tc>
      </w:tr>
      <w:tr>
        <w:trPr>
          <w:trHeight w:val="73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1377,0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5767,0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5767,0</w:t>
            </w:r>
          </w:p>
        </w:tc>
      </w:tr>
      <w:tr>
        <w:trPr>
          <w:trHeight w:val="76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18861,0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12986,0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5875,0</w:t>
            </w:r>
          </w:p>
        </w:tc>
      </w:tr>
      <w:tr>
        <w:trPr>
          <w:trHeight w:val="5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5875,0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10297,0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5456,0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5456,0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4841,0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71266,0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71266,0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76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31266,0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31266,0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11544,0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5567,0</w:t>
            </w:r>
          </w:p>
        </w:tc>
      </w:tr>
      <w:tr>
        <w:trPr>
          <w:trHeight w:val="5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5567,0</w:t>
            </w:r>
          </w:p>
        </w:tc>
      </w:tr>
      <w:tr>
        <w:trPr>
          <w:trHeight w:val="76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№ 233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609"/>
        <w:gridCol w:w="449"/>
        <w:gridCol w:w="550"/>
        <w:gridCol w:w="7071"/>
        <w:gridCol w:w="227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1786501,0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705247,0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211100,0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211100,0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302470,0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263160,0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14410,0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7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1078354,0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1078354,0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1078354,0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383"/>
        <w:gridCol w:w="795"/>
        <w:gridCol w:w="795"/>
        <w:gridCol w:w="6394"/>
        <w:gridCol w:w="2315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1786501,0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243910,0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209061,0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14872,0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14872,0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66005,0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19949,0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128184,0</w:t>
            </w:r>
          </w:p>
        </w:tc>
      </w:tr>
      <w:tr>
        <w:trPr>
          <w:trHeight w:val="5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32135,0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32135,0</w:t>
            </w:r>
          </w:p>
        </w:tc>
      </w:tr>
      <w:tr>
        <w:trPr>
          <w:trHeight w:val="10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32135,0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4176,0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1174322,0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62142,0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62142,0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62142,0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1095684,0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1094908,0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1077559,0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17349,0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8036,0</w:t>
            </w:r>
          </w:p>
        </w:tc>
      </w:tr>
      <w:tr>
        <w:trPr>
          <w:trHeight w:val="7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98631,0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77798,0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77798,0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15405,0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12830,0</w:t>
            </w:r>
          </w:p>
        </w:tc>
      </w:tr>
      <w:tr>
        <w:trPr>
          <w:trHeight w:val="10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2392,0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20833,0</w:t>
            </w:r>
          </w:p>
        </w:tc>
      </w:tr>
      <w:tr>
        <w:trPr>
          <w:trHeight w:val="5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20271,0</w:t>
            </w:r>
          </w:p>
        </w:tc>
      </w:tr>
      <w:tr>
        <w:trPr>
          <w:trHeight w:val="5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35545,0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35122,0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35122,0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107867,0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43111,0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43111,0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43111,0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1512,0</w:t>
            </w:r>
          </w:p>
        </w:tc>
      </w:tr>
      <w:tr>
        <w:trPr>
          <w:trHeight w:val="7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38586,0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36127,0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34733,0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22786,0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8315,0</w:t>
            </w:r>
          </w:p>
        </w:tc>
      </w:tr>
      <w:tr>
        <w:trPr>
          <w:trHeight w:val="7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6398,0</w:t>
            </w:r>
          </w:p>
        </w:tc>
      </w:tr>
      <w:tr>
        <w:trPr>
          <w:trHeight w:val="7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20904,0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14391,0</w:t>
            </w:r>
          </w:p>
        </w:tc>
      </w:tr>
      <w:tr>
        <w:trPr>
          <w:trHeight w:val="6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6513,0</w:t>
            </w:r>
          </w:p>
        </w:tc>
      </w:tr>
      <w:tr>
        <w:trPr>
          <w:trHeight w:val="7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11411,0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76967,0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76967,0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43200,0</w:t>
            </w:r>
          </w:p>
        </w:tc>
      </w:tr>
      <w:tr>
        <w:trPr>
          <w:trHeight w:val="6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33767,0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33767,0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12768,0</w:t>
            </w:r>
          </w:p>
        </w:tc>
      </w:tr>
      <w:tr>
        <w:trPr>
          <w:trHeight w:val="2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6164,0</w:t>
            </w:r>
          </w:p>
        </w:tc>
      </w:tr>
      <w:tr>
        <w:trPr>
          <w:trHeight w:val="7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№ 233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2010 года № 277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2010 год с разделением</w:t>
      </w:r>
      <w:r>
        <w:br/>
      </w:r>
      <w:r>
        <w:rPr>
          <w:rFonts w:ascii="Times New Roman"/>
          <w:b/>
          <w:i w:val="false"/>
          <w:color w:val="000000"/>
        </w:rPr>
        <w:t>
на бюджетные программы, направленные на реализацию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проектов (программ)</w:t>
      </w:r>
      <w:r>
        <w:br/>
      </w:r>
      <w:r>
        <w:rPr>
          <w:rFonts w:ascii="Times New Roman"/>
          <w:b/>
          <w:i w:val="false"/>
          <w:color w:val="000000"/>
        </w:rPr>
        <w:t>
и на формирование или увеличение</w:t>
      </w:r>
      <w:r>
        <w:br/>
      </w:r>
      <w:r>
        <w:rPr>
          <w:rFonts w:ascii="Times New Roman"/>
          <w:b/>
          <w:i w:val="false"/>
          <w:color w:val="000000"/>
        </w:rPr>
        <w:t>
уставного 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маслихата Тарановского района Костанайской области от 20.10.2010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33"/>
        <w:gridCol w:w="713"/>
        <w:gridCol w:w="713"/>
        <w:gridCol w:w="88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№ 233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33"/>
        <w:gridCol w:w="733"/>
        <w:gridCol w:w="713"/>
        <w:gridCol w:w="92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№ 233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2010 года № 277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по аппаратам акимов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решения маслихата Тарановского района Костанайской области от 20.10.2010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833"/>
        <w:gridCol w:w="2433"/>
        <w:gridCol w:w="2233"/>
        <w:gridCol w:w="2413"/>
      </w:tblGrid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123023000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Материальн-техническ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112405,4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6011,9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83295,0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Евгеновка"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Приозерное"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6132,1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46158,0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Смайловка"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Юбилейное"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Тобол"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673"/>
        <w:gridCol w:w="2433"/>
        <w:gridCol w:w="2233"/>
        <w:gridCol w:w="2413"/>
      </w:tblGrid>
      <w:tr>
        <w:trPr>
          <w:trHeight w:val="24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18184,9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10598,0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Евгеновка"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Приозерное"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Смайловка"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Юбилейное"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Тобол"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2264,3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673"/>
        <w:gridCol w:w="2433"/>
        <w:gridCol w:w="2253"/>
        <w:gridCol w:w="2433"/>
      </w:tblGrid>
      <w:tr>
        <w:trPr>
          <w:trHeight w:val="24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4061,5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67146,0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Евгеновка"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Приозерное"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60281,0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Смайловка"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Юбилейное"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Тобол"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413"/>
        <w:gridCol w:w="2953"/>
        <w:gridCol w:w="3333"/>
      </w:tblGrid>
      <w:tr>
        <w:trPr>
          <w:trHeight w:val="24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123019000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администратору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8900,0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311363,7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7683,0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1739,0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7514,0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Евгеновка"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5909,0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8652,0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8162,0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6203,0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Приозерное"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7291,0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17862,0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8685,0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6893,0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10153,0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6805,0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142988,0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Смайловка"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6060,0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Юбилейное"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7178,0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Тобол"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53325,7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