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38ec" w14:textId="1c43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размерах стоимости разовых талонов и ставок фиксированного налога на единицу объекта налогообложения для отдельных видов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2009 года № 134. Зарегистрировано управлением юстиции Сарыкольского района Костанайской области 24 июля 2009 года № 9-17-78. Утратило силу - Решением маслихата Сарыкольского района Костанайской области от 20 мая 2013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Сарыкольского района Костанайской области от 20.05.2013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среднедневных данных хронометражных наблюдений и обследований, проведенных налоговым управлением,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стоимость разовых талонов по реализации на рынках для граждан Республики Казахстан, оралманов, деятельность которых носит эпизодический характер (за исключением деятельности, осуществляемой в стационарных помещениях)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Сарыкольского района Костанайской области от 22.02.2011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единые ставки фиксированного налога на единицу объекта налогообложения для отдельных видов предпринимательской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Аникин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Сарыкольскому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Шохметов Г.К.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2009 года № 134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по реализации на рынках</w:t>
      </w:r>
      <w:r>
        <w:br/>
      </w:r>
      <w:r>
        <w:rPr>
          <w:rFonts w:ascii="Times New Roman"/>
          <w:b/>
          <w:i w:val="false"/>
          <w:color w:val="000000"/>
        </w:rPr>
        <w:t>
для граждан 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решением маслихата Сарыкольского района Костанайской области от 22.02.2011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2913"/>
      </w:tblGrid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 газет и журналов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владельцев личных тракторов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земельных участков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Выпас домашних животных и птиц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2009 года № 134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</w:t>
      </w:r>
      <w:r>
        <w:br/>
      </w:r>
      <w:r>
        <w:rPr>
          <w:rFonts w:ascii="Times New Roman"/>
          <w:b/>
          <w:i w:val="false"/>
          <w:color w:val="000000"/>
        </w:rPr>
        <w:t>
объекта налогообложения для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785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 ставка налога на один объект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МРП*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*МРП -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