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3fc" w14:textId="6cb8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лиц, входящих в целевые группы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января 2009 года № 25. Зарегистрировано Управлением юстиции города Лисаковска Костанайской области 18 февраля 2009 года № 9-4-137.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в целях выработки единого подхода при определении форм социальной защиты населения города Лисаковска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Лисаковска Абоимову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2009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</w:t>
      </w:r>
      <w:r>
        <w:br/>
      </w:r>
      <w:r>
        <w:rPr>
          <w:rFonts w:ascii="Times New Roman"/>
          <w:b/>
          <w:i w:val="false"/>
          <w:color w:val="000000"/>
        </w:rPr>
        <w:t>входящих в целевые группы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c изменениями, внесенными постановлением акимата города Лисаковска Костанайской области от 16.06.2009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20.10.2009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 целевым группам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неперспективного возраста (старше пятидесяти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курсовой подготовки,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высвобожденные в связи с ликвидацией работодателя,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прошлых лет без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родители имеющие детей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