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40e" w14:textId="742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ноября 2007 года № 1588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мая 2009 года № 740. Зарегистрировано Управлением юстиции города Рудного Костанайской области 12 июня 2009 года № 9-2-137. Утратило силу - Постановлением акимата города Рудного Костанайской области от 9 июня 2012 года №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Рудного Костанайской области от 09.06.2012 № 693.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социальных рабочих мест" от 22 ноября 2007 года № 1588 (номер в Реестре государственной регистрации нормативных правовых актов 9-2-94, опубликовано 4 января 2008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социальных рабочих мест,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"индивидуального"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Затраты работодателей на оплату труда безработных, трудоустроенных на социальные рабочие места и "молодежную практику", компенсируются из средств местного (городского) бюджета в размере минимальной заработной платы на срок не более шести месяцев. Расчеты по перечислению бюджетных средств производятся на расчетные счета работодателей."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